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77AC" w:rsidRDefault="008C77AC" w:rsidP="008C77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b/>
          <w:smallCaps/>
          <w:sz w:val="24"/>
          <w:szCs w:val="24"/>
          <w:lang w:val="fr-FR"/>
        </w:rPr>
      </w:pPr>
    </w:p>
    <w:p w:rsidR="008C77AC" w:rsidRPr="005B6036" w:rsidRDefault="006519E6" w:rsidP="008C77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b/>
          <w:smallCaps/>
          <w:spacing w:val="28"/>
          <w:sz w:val="28"/>
          <w:szCs w:val="28"/>
          <w:lang w:val="fr-FR"/>
        </w:rPr>
      </w:pPr>
      <w:r w:rsidRPr="006519E6">
        <w:rPr>
          <w:b/>
          <w:smallCaps/>
          <w:spacing w:val="28"/>
          <w:sz w:val="28"/>
          <w:szCs w:val="28"/>
          <w:lang w:val="fr-FR"/>
        </w:rPr>
        <w:t>Grands Enjeux de l’Amérique latine</w:t>
      </w:r>
    </w:p>
    <w:p w:rsidR="008C77AC" w:rsidRPr="005B6036" w:rsidRDefault="006519E6" w:rsidP="008C77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b/>
          <w:i/>
          <w:smallCaps/>
          <w:sz w:val="24"/>
          <w:szCs w:val="24"/>
          <w:lang w:val="fr-FR"/>
        </w:rPr>
      </w:pPr>
      <w:r>
        <w:rPr>
          <w:b/>
          <w:i/>
          <w:smallCaps/>
          <w:sz w:val="24"/>
          <w:szCs w:val="24"/>
          <w:lang w:val="fr-FR"/>
        </w:rPr>
        <w:t xml:space="preserve">Problèmes de justice transitionnelle </w:t>
      </w:r>
      <w:r w:rsidRPr="006519E6">
        <w:rPr>
          <w:b/>
          <w:smallCaps/>
          <w:sz w:val="24"/>
          <w:szCs w:val="24"/>
          <w:lang w:val="fr-FR"/>
        </w:rPr>
        <w:t>(M1)</w:t>
      </w:r>
    </w:p>
    <w:p w:rsidR="008C77AC" w:rsidRPr="002D5A20" w:rsidRDefault="008C77AC" w:rsidP="008C77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spacing w:after="0"/>
        <w:jc w:val="center"/>
        <w:rPr>
          <w:b/>
          <w:smallCaps/>
          <w:lang w:val="fr-FR"/>
        </w:rPr>
      </w:pPr>
    </w:p>
    <w:p w:rsidR="008C77AC" w:rsidRDefault="008C77AC" w:rsidP="008C77AC">
      <w:pPr>
        <w:rPr>
          <w:lang w:val="fr-FR"/>
        </w:rPr>
      </w:pPr>
    </w:p>
    <w:p w:rsidR="008C77AC" w:rsidRPr="00B406B0" w:rsidRDefault="008C77AC" w:rsidP="008C77AC">
      <w:pPr>
        <w:rPr>
          <w:b/>
          <w:lang w:val="fr-FR"/>
        </w:rPr>
      </w:pPr>
      <w:r w:rsidRPr="00B406B0">
        <w:rPr>
          <w:b/>
          <w:lang w:val="fr-FR"/>
        </w:rPr>
        <w:t>Cours assuré par Lucas Martín</w:t>
      </w:r>
    </w:p>
    <w:p w:rsidR="008C77AC" w:rsidRPr="00E33C1F" w:rsidRDefault="008C77AC" w:rsidP="008C77AC">
      <w:pPr>
        <w:pStyle w:val="Paragraphedeliste"/>
        <w:spacing w:after="120" w:line="240" w:lineRule="auto"/>
        <w:jc w:val="both"/>
        <w:rPr>
          <w:rFonts w:cstheme="minorHAnsi"/>
          <w:lang w:val="fr-FR"/>
        </w:rPr>
      </w:pPr>
    </w:p>
    <w:p w:rsidR="008C77AC" w:rsidRPr="00B406B0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fr-FR"/>
        </w:rPr>
      </w:pPr>
      <w:r w:rsidRPr="00B406B0">
        <w:rPr>
          <w:b/>
          <w:sz w:val="24"/>
          <w:szCs w:val="24"/>
          <w:lang w:val="fr-FR"/>
        </w:rPr>
        <w:t>Objectif</w:t>
      </w:r>
      <w:r>
        <w:rPr>
          <w:b/>
          <w:sz w:val="24"/>
          <w:szCs w:val="24"/>
          <w:lang w:val="fr-FR"/>
        </w:rPr>
        <w:t>s</w:t>
      </w:r>
      <w:r w:rsidRPr="00B406B0">
        <w:rPr>
          <w:b/>
          <w:sz w:val="24"/>
          <w:szCs w:val="24"/>
          <w:lang w:val="fr-FR"/>
        </w:rPr>
        <w:t xml:space="preserve"> du cours</w:t>
      </w:r>
    </w:p>
    <w:p w:rsidR="008C77AC" w:rsidRDefault="008C77AC" w:rsidP="008C77AC">
      <w:pPr>
        <w:jc w:val="both"/>
        <w:rPr>
          <w:lang w:val="fr-FR"/>
        </w:rPr>
      </w:pPr>
      <w:r w:rsidRPr="00E33C1F">
        <w:rPr>
          <w:b/>
          <w:lang w:val="fr-FR"/>
        </w:rPr>
        <w:t>L'objectif général</w:t>
      </w:r>
      <w:r w:rsidRPr="00A52FC6">
        <w:rPr>
          <w:lang w:val="fr-FR"/>
        </w:rPr>
        <w:t xml:space="preserve"> du cours est de développer, dans une perspective analytique et empirique, une large connaissance des différentes politiques de la justice transitionnelle</w:t>
      </w:r>
      <w:r>
        <w:rPr>
          <w:lang w:val="fr-FR"/>
        </w:rPr>
        <w:t xml:space="preserve"> (JT)</w:t>
      </w:r>
      <w:r w:rsidRPr="00A52FC6">
        <w:rPr>
          <w:lang w:val="fr-FR"/>
        </w:rPr>
        <w:t xml:space="preserve"> et post-transitionnelle </w:t>
      </w:r>
      <w:r>
        <w:rPr>
          <w:lang w:val="fr-FR"/>
        </w:rPr>
        <w:t xml:space="preserve">(JPT) dans le cadre des transformations du droit international de droits humains et du droit pénale international. </w:t>
      </w:r>
      <w:r w:rsidRPr="00A52FC6">
        <w:rPr>
          <w:lang w:val="fr-FR"/>
        </w:rPr>
        <w:t>A</w:t>
      </w:r>
      <w:r>
        <w:rPr>
          <w:lang w:val="fr-FR"/>
        </w:rPr>
        <w:t xml:space="preserve"> </w:t>
      </w:r>
      <w:r w:rsidRPr="00A52FC6">
        <w:rPr>
          <w:lang w:val="fr-FR"/>
        </w:rPr>
        <w:t>partir d'études de cas</w:t>
      </w:r>
      <w:r>
        <w:rPr>
          <w:lang w:val="fr-FR"/>
        </w:rPr>
        <w:t xml:space="preserve"> du Sud Global</w:t>
      </w:r>
      <w:r w:rsidRPr="00A52FC6">
        <w:rPr>
          <w:lang w:val="fr-FR"/>
        </w:rPr>
        <w:t xml:space="preserve">, </w:t>
      </w:r>
      <w:r>
        <w:rPr>
          <w:lang w:val="fr-FR"/>
        </w:rPr>
        <w:t>on étudiera l’influence des différents « modèles » de justice transitionnelle au travers les frontières, l’utilisation des ressources et institutions du système international des droits humains (notamment, des Amériques) et l’impact des nouveautés du droit pénal international notamment à partir de la création de la Cour Pénale Internationale.</w:t>
      </w:r>
    </w:p>
    <w:p w:rsidR="008C77AC" w:rsidRDefault="008C77AC" w:rsidP="008C77AC">
      <w:pPr>
        <w:jc w:val="both"/>
        <w:rPr>
          <w:lang w:val="fr-FR"/>
        </w:rPr>
      </w:pPr>
      <w:r>
        <w:rPr>
          <w:lang w:val="fr-FR"/>
        </w:rPr>
        <w:t>Parallèlement, le cours envisage de stimuler, d’un part, une réflexion sur la « charge » théorique sous-jacente à chaque « modèle » de justice transitionnelle et, d’autre part, une perspective pratique dans le sens de confronter la pluralité des problèmes qui surgissent face aux grave</w:t>
      </w:r>
      <w:r w:rsidR="00EB1AB8">
        <w:rPr>
          <w:lang w:val="fr-FR"/>
        </w:rPr>
        <w:t>s violations des droits humains</w:t>
      </w:r>
      <w:r>
        <w:rPr>
          <w:lang w:val="fr-FR"/>
        </w:rPr>
        <w:t xml:space="preserve"> et ce</w:t>
      </w:r>
      <w:r w:rsidR="00EB1AB8">
        <w:rPr>
          <w:lang w:val="fr-FR"/>
        </w:rPr>
        <w:t>,</w:t>
      </w:r>
      <w:r>
        <w:rPr>
          <w:lang w:val="fr-FR"/>
        </w:rPr>
        <w:t xml:space="preserve"> dans le cas de Venezuela. </w:t>
      </w:r>
    </w:p>
    <w:p w:rsidR="008C77AC" w:rsidRPr="009373BC" w:rsidRDefault="008C77AC" w:rsidP="008C77AC">
      <w:pPr>
        <w:rPr>
          <w:b/>
          <w:lang w:val="fr-FR"/>
        </w:rPr>
      </w:pPr>
      <w:r w:rsidRPr="009373BC">
        <w:rPr>
          <w:b/>
          <w:lang w:val="fr-FR"/>
        </w:rPr>
        <w:t>Objectifs spécifiques</w:t>
      </w:r>
    </w:p>
    <w:p w:rsidR="008C77AC" w:rsidRPr="009373BC" w:rsidRDefault="008C77AC" w:rsidP="008C77AC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9373BC">
        <w:rPr>
          <w:lang w:val="fr-FR"/>
        </w:rPr>
        <w:t>Se familiariser avec la littérature, l</w:t>
      </w:r>
      <w:r w:rsidR="003E5777">
        <w:rPr>
          <w:lang w:val="fr-FR"/>
        </w:rPr>
        <w:t>es concepts et les débats sur la</w:t>
      </w:r>
      <w:r w:rsidRPr="009373BC">
        <w:rPr>
          <w:lang w:val="fr-FR"/>
        </w:rPr>
        <w:t xml:space="preserve"> </w:t>
      </w:r>
      <w:r w:rsidR="003E5777">
        <w:rPr>
          <w:lang w:val="fr-FR"/>
        </w:rPr>
        <w:t>JT</w:t>
      </w:r>
      <w:r w:rsidRPr="009373BC">
        <w:rPr>
          <w:lang w:val="fr-FR"/>
        </w:rPr>
        <w:t xml:space="preserve"> et l</w:t>
      </w:r>
      <w:r w:rsidR="003E5777">
        <w:rPr>
          <w:lang w:val="fr-FR"/>
        </w:rPr>
        <w:t>a</w:t>
      </w:r>
      <w:r w:rsidRPr="009373BC">
        <w:rPr>
          <w:lang w:val="fr-FR"/>
        </w:rPr>
        <w:t xml:space="preserve"> </w:t>
      </w:r>
      <w:r w:rsidR="003E5777">
        <w:rPr>
          <w:lang w:val="fr-FR"/>
        </w:rPr>
        <w:t>JPT</w:t>
      </w:r>
      <w:r w:rsidRPr="009373BC">
        <w:rPr>
          <w:lang w:val="fr-FR"/>
        </w:rPr>
        <w:t>.</w:t>
      </w:r>
    </w:p>
    <w:p w:rsidR="008C77AC" w:rsidRPr="009373BC" w:rsidRDefault="008C77AC" w:rsidP="008C77AC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9373BC">
        <w:rPr>
          <w:lang w:val="fr-FR"/>
        </w:rPr>
        <w:t xml:space="preserve">Développer une perspective critique </w:t>
      </w:r>
      <w:r w:rsidR="003E5777">
        <w:rPr>
          <w:lang w:val="fr-FR"/>
        </w:rPr>
        <w:t xml:space="preserve">et </w:t>
      </w:r>
      <w:r w:rsidRPr="009373BC">
        <w:rPr>
          <w:lang w:val="fr-FR"/>
        </w:rPr>
        <w:t xml:space="preserve">des outils </w:t>
      </w:r>
      <w:r w:rsidR="003E5777">
        <w:rPr>
          <w:lang w:val="fr-FR"/>
        </w:rPr>
        <w:t>et des enjeux du</w:t>
      </w:r>
      <w:r w:rsidRPr="009373BC">
        <w:rPr>
          <w:lang w:val="fr-FR"/>
        </w:rPr>
        <w:t xml:space="preserve"> paradigme de la </w:t>
      </w:r>
      <w:r w:rsidR="003E5777">
        <w:rPr>
          <w:lang w:val="fr-FR"/>
        </w:rPr>
        <w:t>JT et de la JPT</w:t>
      </w:r>
      <w:r w:rsidRPr="009373BC">
        <w:rPr>
          <w:lang w:val="fr-FR"/>
        </w:rPr>
        <w:t>.</w:t>
      </w:r>
    </w:p>
    <w:p w:rsidR="008C77AC" w:rsidRPr="009373BC" w:rsidRDefault="008C77AC" w:rsidP="008C77AC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9373BC">
        <w:rPr>
          <w:lang w:val="fr-FR"/>
        </w:rPr>
        <w:t>S'exercer à travailler avec des sources et des documents.</w:t>
      </w:r>
    </w:p>
    <w:p w:rsidR="008C77AC" w:rsidRPr="009373BC" w:rsidRDefault="008C77AC" w:rsidP="008C77AC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9373BC">
        <w:rPr>
          <w:lang w:val="fr-FR"/>
        </w:rPr>
        <w:t xml:space="preserve">Développer la capacité d'analyse au sens pratique et technique et au sens scientifique en envisageant les différents </w:t>
      </w:r>
      <w:r w:rsidR="003E5777">
        <w:rPr>
          <w:lang w:val="fr-FR"/>
        </w:rPr>
        <w:t>niveaux</w:t>
      </w:r>
      <w:r w:rsidRPr="009373BC">
        <w:rPr>
          <w:lang w:val="fr-FR"/>
        </w:rPr>
        <w:t xml:space="preserve"> de problèmes (moral, juridique, politique), les différents acteurs et leurs </w:t>
      </w:r>
      <w:r w:rsidR="003E5777" w:rsidRPr="009373BC">
        <w:rPr>
          <w:lang w:val="fr-FR"/>
        </w:rPr>
        <w:t xml:space="preserve">perspectives </w:t>
      </w:r>
      <w:r w:rsidRPr="009373BC">
        <w:rPr>
          <w:lang w:val="fr-FR"/>
        </w:rPr>
        <w:t xml:space="preserve">et </w:t>
      </w:r>
      <w:r w:rsidR="003E5777" w:rsidRPr="009373BC">
        <w:rPr>
          <w:lang w:val="fr-FR"/>
        </w:rPr>
        <w:t xml:space="preserve">intérêts </w:t>
      </w:r>
      <w:r w:rsidRPr="009373BC">
        <w:rPr>
          <w:lang w:val="fr-FR"/>
        </w:rPr>
        <w:t>(victimes, auteurs, spectateurs, etc.) et les différentes dimensions dans la mise en œuvre des solutions (valeurs et principes, objectifs, résultats, effets).</w:t>
      </w:r>
    </w:p>
    <w:p w:rsidR="008C77AC" w:rsidRDefault="008C77AC" w:rsidP="008C77AC">
      <w:pPr>
        <w:pStyle w:val="Paragraphedeliste"/>
        <w:numPr>
          <w:ilvl w:val="0"/>
          <w:numId w:val="6"/>
        </w:numPr>
        <w:jc w:val="both"/>
        <w:rPr>
          <w:lang w:val="fr-FR"/>
        </w:rPr>
      </w:pPr>
      <w:r w:rsidRPr="009373BC">
        <w:rPr>
          <w:lang w:val="fr-FR"/>
        </w:rPr>
        <w:t>Développer, sur la base de l'analyse, des compétences de négociation et de planification stratégique face à la diversité des problèmes et des objectifs de la justice transitionnelle et post-transitionnelle.</w:t>
      </w:r>
    </w:p>
    <w:p w:rsidR="008C77AC" w:rsidRDefault="008C77AC" w:rsidP="008C77AC">
      <w:pPr>
        <w:rPr>
          <w:b/>
          <w:lang w:val="fr-FR"/>
        </w:rPr>
      </w:pPr>
      <w:r w:rsidRPr="00E33C1F">
        <w:rPr>
          <w:b/>
          <w:lang w:val="fr-FR"/>
        </w:rPr>
        <w:t>Bibliographie/Lectures</w:t>
      </w:r>
      <w:r>
        <w:rPr>
          <w:b/>
          <w:lang w:val="fr-FR"/>
        </w:rPr>
        <w:t xml:space="preserve"> </w:t>
      </w:r>
    </w:p>
    <w:p w:rsidR="008C77AC" w:rsidRPr="00E33C1F" w:rsidRDefault="008C77AC" w:rsidP="008C77AC">
      <w:pPr>
        <w:jc w:val="both"/>
        <w:rPr>
          <w:lang w:val="fr-FR"/>
        </w:rPr>
      </w:pPr>
      <w:r w:rsidRPr="00E33C1F">
        <w:rPr>
          <w:lang w:val="fr-FR"/>
        </w:rPr>
        <w:t xml:space="preserve">La sélection bibliographique est classée en trois groupes. La bibliographie </w:t>
      </w:r>
      <w:r w:rsidRPr="00E33C1F">
        <w:rPr>
          <w:i/>
          <w:lang w:val="fr-FR"/>
        </w:rPr>
        <w:t>obligatoire</w:t>
      </w:r>
      <w:r w:rsidRPr="00E33C1F">
        <w:rPr>
          <w:lang w:val="fr-FR"/>
        </w:rPr>
        <w:t xml:space="preserve"> est celle qui doit être lue au préalable </w:t>
      </w:r>
      <w:r>
        <w:rPr>
          <w:lang w:val="fr-FR"/>
        </w:rPr>
        <w:t>pour</w:t>
      </w:r>
      <w:r w:rsidRPr="00E33C1F">
        <w:rPr>
          <w:lang w:val="fr-FR"/>
        </w:rPr>
        <w:t xml:space="preserve"> pouvoir faire le trava</w:t>
      </w:r>
      <w:r>
        <w:rPr>
          <w:lang w:val="fr-FR"/>
        </w:rPr>
        <w:t xml:space="preserve">il en classe. La bibliographie </w:t>
      </w:r>
      <w:r w:rsidRPr="00CF36DA">
        <w:rPr>
          <w:i/>
          <w:lang w:val="fr-FR"/>
        </w:rPr>
        <w:t>pour le débat</w:t>
      </w:r>
      <w:r w:rsidRPr="00E33C1F">
        <w:rPr>
          <w:lang w:val="fr-FR"/>
        </w:rPr>
        <w:t xml:space="preserve"> est une alternative à la bibliographie obligatoire</w:t>
      </w:r>
      <w:r>
        <w:rPr>
          <w:lang w:val="fr-FR"/>
        </w:rPr>
        <w:t xml:space="preserve"> qui sera assigné à une partie des étudiants afin d’assurer deux points de vue dans les échanges</w:t>
      </w:r>
      <w:r w:rsidRPr="00E33C1F">
        <w:rPr>
          <w:lang w:val="fr-FR"/>
        </w:rPr>
        <w:t xml:space="preserve"> (les deux textes proposés pour </w:t>
      </w:r>
      <w:r w:rsidRPr="00E33C1F">
        <w:rPr>
          <w:lang w:val="fr-FR"/>
        </w:rPr>
        <w:lastRenderedPageBreak/>
        <w:t xml:space="preserve">le débat peuvent également être lus, bien entendu). Enfin, </w:t>
      </w:r>
      <w:r>
        <w:rPr>
          <w:lang w:val="fr-FR"/>
        </w:rPr>
        <w:t>les lectures</w:t>
      </w:r>
      <w:r w:rsidRPr="00E33C1F">
        <w:rPr>
          <w:lang w:val="fr-FR"/>
        </w:rPr>
        <w:t xml:space="preserve"> </w:t>
      </w:r>
      <w:r w:rsidRPr="00CF36DA">
        <w:rPr>
          <w:i/>
          <w:lang w:val="fr-FR"/>
        </w:rPr>
        <w:t>recommandée</w:t>
      </w:r>
      <w:r>
        <w:rPr>
          <w:i/>
          <w:lang w:val="fr-FR"/>
        </w:rPr>
        <w:t>s</w:t>
      </w:r>
      <w:r w:rsidRPr="00E33C1F">
        <w:rPr>
          <w:lang w:val="fr-FR"/>
        </w:rPr>
        <w:t xml:space="preserve"> n</w:t>
      </w:r>
      <w:r>
        <w:rPr>
          <w:lang w:val="fr-FR"/>
        </w:rPr>
        <w:t>e sont</w:t>
      </w:r>
      <w:r w:rsidRPr="00E33C1F">
        <w:rPr>
          <w:lang w:val="fr-FR"/>
        </w:rPr>
        <w:t xml:space="preserve"> pas obligatoire</w:t>
      </w:r>
      <w:r>
        <w:rPr>
          <w:lang w:val="fr-FR"/>
        </w:rPr>
        <w:t>s</w:t>
      </w:r>
      <w:r w:rsidRPr="00E33C1F">
        <w:rPr>
          <w:lang w:val="fr-FR"/>
        </w:rPr>
        <w:t xml:space="preserve"> dans son intégralité, mais permet</w:t>
      </w:r>
      <w:r>
        <w:rPr>
          <w:lang w:val="fr-FR"/>
        </w:rPr>
        <w:t>tent</w:t>
      </w:r>
      <w:r w:rsidRPr="00E33C1F">
        <w:rPr>
          <w:lang w:val="fr-FR"/>
        </w:rPr>
        <w:t xml:space="preserve"> d'approfondir les sujets. Toutefois, certains de ces textes peuvent apporter une contribution importante au processus d'apprentissage et, au moment des examens, serviront à améliorer la qualité et la profondeur des réponses (l'enseignant indiquera la sélection pertinente en temps voulu).</w:t>
      </w:r>
    </w:p>
    <w:p w:rsidR="008C77AC" w:rsidRDefault="008C77AC" w:rsidP="008C77AC">
      <w:pPr>
        <w:rPr>
          <w:lang w:val="fr-FR"/>
        </w:rPr>
      </w:pPr>
      <w:r w:rsidRPr="004D5514">
        <w:rPr>
          <w:b/>
          <w:i/>
          <w:lang w:val="fr-FR"/>
        </w:rPr>
        <w:t>NB</w:t>
      </w:r>
      <w:r>
        <w:rPr>
          <w:b/>
          <w:i/>
          <w:lang w:val="fr-FR"/>
        </w:rPr>
        <w:t> :</w:t>
      </w:r>
      <w:r>
        <w:rPr>
          <w:b/>
          <w:lang w:val="fr-FR"/>
        </w:rPr>
        <w:t xml:space="preserve"> </w:t>
      </w:r>
      <w:r w:rsidRPr="004D5514">
        <w:rPr>
          <w:lang w:val="fr-FR"/>
        </w:rPr>
        <w:t>la sélection bibliographique peut</w:t>
      </w:r>
      <w:r>
        <w:rPr>
          <w:lang w:val="fr-FR"/>
        </w:rPr>
        <w:t xml:space="preserve"> souffrir des changements particuliers en raison du </w:t>
      </w:r>
      <w:r w:rsidR="00E82C4B">
        <w:rPr>
          <w:lang w:val="fr-FR"/>
        </w:rPr>
        <w:t>déroulement</w:t>
      </w:r>
      <w:r>
        <w:rPr>
          <w:lang w:val="fr-FR"/>
        </w:rPr>
        <w:t xml:space="preserve"> du cours et/</w:t>
      </w:r>
      <w:r w:rsidR="00E82C4B">
        <w:rPr>
          <w:lang w:val="fr-FR"/>
        </w:rPr>
        <w:t>ou de la découverte de nouveaux textes</w:t>
      </w:r>
      <w:r>
        <w:rPr>
          <w:lang w:val="fr-FR"/>
        </w:rPr>
        <w:t>.</w:t>
      </w:r>
    </w:p>
    <w:p w:rsidR="008C77AC" w:rsidRDefault="008C77AC" w:rsidP="008C77AC">
      <w:pPr>
        <w:rPr>
          <w:lang w:val="fr-FR"/>
        </w:rPr>
      </w:pPr>
    </w:p>
    <w:p w:rsidR="008C77AC" w:rsidRPr="005B6036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fr-FR"/>
        </w:rPr>
      </w:pPr>
      <w:r w:rsidRPr="005B6036">
        <w:rPr>
          <w:b/>
          <w:sz w:val="24"/>
          <w:szCs w:val="24"/>
          <w:lang w:val="fr-FR"/>
        </w:rPr>
        <w:t>Evaluations</w:t>
      </w:r>
    </w:p>
    <w:p w:rsidR="008C77AC" w:rsidRDefault="008C77AC" w:rsidP="008C77AC">
      <w:pPr>
        <w:spacing w:after="120" w:line="240" w:lineRule="auto"/>
        <w:jc w:val="both"/>
        <w:rPr>
          <w:lang w:val="fr-FR"/>
        </w:rPr>
      </w:pPr>
      <w:r w:rsidRPr="00105CC5">
        <w:rPr>
          <w:b/>
          <w:lang w:val="fr-FR"/>
        </w:rPr>
        <w:t>Première évaluation (6</w:t>
      </w:r>
      <w:r w:rsidRPr="00105CC5">
        <w:rPr>
          <w:b/>
          <w:vertAlign w:val="superscript"/>
          <w:lang w:val="fr-FR"/>
        </w:rPr>
        <w:t>ème</w:t>
      </w:r>
      <w:r w:rsidRPr="00105CC5">
        <w:rPr>
          <w:b/>
          <w:lang w:val="fr-FR"/>
        </w:rPr>
        <w:t xml:space="preserve"> séance).</w:t>
      </w:r>
      <w:r>
        <w:rPr>
          <w:lang w:val="fr-FR"/>
        </w:rPr>
        <w:t xml:space="preserve"> Il s’agira de</w:t>
      </w:r>
      <w:r w:rsidR="003E5777">
        <w:rPr>
          <w:lang w:val="fr-FR"/>
        </w:rPr>
        <w:t xml:space="preserve"> présenter un texte pour le débat au sein du cours</w:t>
      </w:r>
      <w:r>
        <w:rPr>
          <w:lang w:val="fr-FR"/>
        </w:rPr>
        <w:t xml:space="preserve">. </w:t>
      </w:r>
      <w:r w:rsidR="003E5777">
        <w:rPr>
          <w:lang w:val="fr-FR"/>
        </w:rPr>
        <w:t xml:space="preserve">La présentation sera par écrit (bref résumé, 600 mots) et </w:t>
      </w:r>
      <w:r w:rsidR="00EB1AB8">
        <w:rPr>
          <w:lang w:val="fr-FR"/>
        </w:rPr>
        <w:t>dans la discussion orale avec un durée de 10-15 minutes, dépendant s’il s’agit d’un</w:t>
      </w:r>
      <w:r w:rsidR="00E82C4B">
        <w:rPr>
          <w:lang w:val="fr-FR"/>
        </w:rPr>
        <w:t>e production</w:t>
      </w:r>
      <w:r w:rsidR="00EB1AB8">
        <w:rPr>
          <w:lang w:val="fr-FR"/>
        </w:rPr>
        <w:t xml:space="preserve"> individuel ou de groupe (la présentation pourra être faite individuellement ou par des petits groupes de 2-3 personnes, si le(s) texte(s) choisi(s) le mérite(nt)). </w:t>
      </w:r>
      <w:r>
        <w:rPr>
          <w:lang w:val="fr-FR"/>
        </w:rPr>
        <w:t>40% de la note finale</w:t>
      </w:r>
      <w:r w:rsidR="003E5777">
        <w:rPr>
          <w:lang w:val="fr-FR"/>
        </w:rPr>
        <w:t>.</w:t>
      </w:r>
    </w:p>
    <w:p w:rsidR="008C77AC" w:rsidRPr="00C0656D" w:rsidRDefault="008C77AC" w:rsidP="008C77AC">
      <w:pPr>
        <w:spacing w:after="120" w:line="240" w:lineRule="auto"/>
        <w:jc w:val="both"/>
        <w:rPr>
          <w:lang w:val="fr-FR"/>
        </w:rPr>
      </w:pPr>
      <w:r w:rsidRPr="00105CC5">
        <w:rPr>
          <w:b/>
          <w:lang w:val="fr-FR"/>
        </w:rPr>
        <w:t>Deuxième évaluation</w:t>
      </w:r>
      <w:r>
        <w:rPr>
          <w:b/>
          <w:lang w:val="fr-FR"/>
        </w:rPr>
        <w:t xml:space="preserve"> (12</w:t>
      </w:r>
      <w:r w:rsidRPr="00105CC5">
        <w:rPr>
          <w:b/>
          <w:vertAlign w:val="superscript"/>
          <w:lang w:val="fr-FR"/>
        </w:rPr>
        <w:t>ème</w:t>
      </w:r>
      <w:r>
        <w:rPr>
          <w:b/>
          <w:lang w:val="fr-FR"/>
        </w:rPr>
        <w:t xml:space="preserve"> séance). </w:t>
      </w:r>
      <w:r>
        <w:rPr>
          <w:lang w:val="fr-FR"/>
        </w:rPr>
        <w:t>60% de la note finale</w:t>
      </w:r>
      <w:r w:rsidR="00EB1AB8">
        <w:rPr>
          <w:lang w:val="fr-FR"/>
        </w:rPr>
        <w:t>.</w:t>
      </w:r>
      <w:r>
        <w:rPr>
          <w:lang w:val="fr-FR"/>
        </w:rPr>
        <w:t xml:space="preserve"> </w:t>
      </w:r>
      <w:r w:rsidR="00EB1AB8">
        <w:rPr>
          <w:lang w:val="fr-FR"/>
        </w:rPr>
        <w:t>L'ex</w:t>
      </w:r>
      <w:r w:rsidRPr="00C0656D">
        <w:rPr>
          <w:lang w:val="fr-FR"/>
        </w:rPr>
        <w:t>amen sera écrit et consistera en une dissertation</w:t>
      </w:r>
      <w:r w:rsidR="00EB1AB8">
        <w:rPr>
          <w:lang w:val="fr-FR"/>
        </w:rPr>
        <w:t xml:space="preserve"> dont le </w:t>
      </w:r>
      <w:r>
        <w:rPr>
          <w:lang w:val="fr-FR"/>
        </w:rPr>
        <w:t>sujet sortira d</w:t>
      </w:r>
      <w:r w:rsidRPr="00C0656D">
        <w:rPr>
          <w:lang w:val="fr-FR"/>
        </w:rPr>
        <w:t>'une des quatre options</w:t>
      </w:r>
      <w:r>
        <w:rPr>
          <w:lang w:val="fr-FR"/>
        </w:rPr>
        <w:t xml:space="preserve"> avancées par le professeur</w:t>
      </w:r>
      <w:r w:rsidRPr="00C0656D">
        <w:rPr>
          <w:lang w:val="fr-FR"/>
        </w:rPr>
        <w:t xml:space="preserve">. </w:t>
      </w:r>
    </w:p>
    <w:p w:rsidR="008C77AC" w:rsidRPr="00C0656D" w:rsidRDefault="008C77AC" w:rsidP="008C77AC">
      <w:pPr>
        <w:spacing w:after="120" w:line="240" w:lineRule="auto"/>
        <w:rPr>
          <w:lang w:val="fr-FR"/>
        </w:rPr>
      </w:pPr>
    </w:p>
    <w:p w:rsidR="008C77AC" w:rsidRPr="005B6036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cstheme="minorHAnsi"/>
          <w:sz w:val="24"/>
          <w:szCs w:val="24"/>
          <w:lang w:val="fr-FR"/>
        </w:rPr>
      </w:pPr>
      <w:r w:rsidRPr="005B6036">
        <w:rPr>
          <w:rFonts w:cstheme="minorHAnsi"/>
          <w:b/>
          <w:sz w:val="24"/>
          <w:szCs w:val="24"/>
          <w:lang w:val="fr-FR"/>
        </w:rPr>
        <w:t>Partie 1. Introduction. Histoire, concepts et enjeux de la justice transitionnelle</w:t>
      </w:r>
    </w:p>
    <w:p w:rsidR="008C77AC" w:rsidRPr="00BC7FDF" w:rsidRDefault="008C77AC" w:rsidP="008C77AC">
      <w:pPr>
        <w:pStyle w:val="Paragraphedeliste"/>
        <w:spacing w:after="120"/>
        <w:ind w:left="0"/>
        <w:jc w:val="both"/>
        <w:rPr>
          <w:rFonts w:cstheme="minorHAnsi"/>
          <w:lang w:val="fr-FR"/>
        </w:rPr>
      </w:pPr>
    </w:p>
    <w:p w:rsidR="008C77AC" w:rsidRPr="00BC7FDF" w:rsidRDefault="008C77AC" w:rsidP="008C77A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both"/>
        <w:rPr>
          <w:rFonts w:cstheme="minorHAnsi"/>
          <w:b/>
          <w:smallCaps/>
          <w:sz w:val="24"/>
          <w:szCs w:val="24"/>
          <w:lang w:val="fr-FR"/>
        </w:rPr>
      </w:pPr>
      <w:r w:rsidRPr="00BC7FDF">
        <w:rPr>
          <w:rFonts w:cstheme="minorHAnsi"/>
          <w:b/>
          <w:smallCaps/>
          <w:sz w:val="24"/>
          <w:szCs w:val="24"/>
          <w:lang w:val="fr-FR"/>
        </w:rPr>
        <w:t>Séance 1</w:t>
      </w:r>
    </w:p>
    <w:p w:rsidR="008C77AC" w:rsidRPr="00BC7FDF" w:rsidRDefault="008C77AC" w:rsidP="008C77AC">
      <w:pPr>
        <w:spacing w:after="120"/>
        <w:ind w:left="709" w:hanging="709"/>
        <w:jc w:val="both"/>
        <w:rPr>
          <w:rFonts w:cstheme="minorHAnsi"/>
          <w:b/>
          <w:lang w:val="fr-FR"/>
        </w:rPr>
      </w:pPr>
      <w:r w:rsidRPr="00BC7FDF">
        <w:rPr>
          <w:rFonts w:cstheme="minorHAnsi"/>
          <w:b/>
          <w:lang w:val="fr-FR"/>
        </w:rPr>
        <w:t>Lecture obligatoire</w:t>
      </w:r>
    </w:p>
    <w:p w:rsidR="008C77AC" w:rsidRPr="00BC7FDF" w:rsidRDefault="008C77AC" w:rsidP="008C77AC">
      <w:pPr>
        <w:spacing w:after="120"/>
        <w:ind w:left="709" w:hanging="709"/>
        <w:jc w:val="both"/>
        <w:rPr>
          <w:rFonts w:cstheme="minorHAnsi"/>
          <w:lang w:val="fr-FR"/>
        </w:rPr>
      </w:pPr>
      <w:r w:rsidRPr="00BC7FDF">
        <w:rPr>
          <w:rFonts w:cstheme="minorHAnsi"/>
          <w:lang w:val="fr-FR"/>
        </w:rPr>
        <w:t xml:space="preserve">International Center for </w:t>
      </w:r>
      <w:proofErr w:type="spellStart"/>
      <w:r w:rsidRPr="00BC7FDF">
        <w:rPr>
          <w:rFonts w:cstheme="minorHAnsi"/>
          <w:lang w:val="fr-FR"/>
        </w:rPr>
        <w:t>Transitional</w:t>
      </w:r>
      <w:proofErr w:type="spellEnd"/>
      <w:r w:rsidRPr="00BC7FDF">
        <w:rPr>
          <w:rFonts w:cstheme="minorHAnsi"/>
          <w:lang w:val="fr-FR"/>
        </w:rPr>
        <w:t xml:space="preserve"> Justice, “</w:t>
      </w:r>
      <w:proofErr w:type="spellStart"/>
      <w:r w:rsidRPr="00BC7FDF">
        <w:rPr>
          <w:rFonts w:cstheme="minorHAnsi"/>
          <w:lang w:val="fr-FR"/>
        </w:rPr>
        <w:t>Transitional</w:t>
      </w:r>
      <w:proofErr w:type="spellEnd"/>
      <w:r w:rsidRPr="00BC7FDF">
        <w:rPr>
          <w:rFonts w:cstheme="minorHAnsi"/>
          <w:lang w:val="fr-FR"/>
        </w:rPr>
        <w:t xml:space="preserve"> Justice”, </w:t>
      </w:r>
      <w:hyperlink r:id="rId5" w:history="1">
        <w:r w:rsidRPr="00BC7FDF">
          <w:rPr>
            <w:rFonts w:cstheme="minorHAnsi"/>
            <w:color w:val="0070C0"/>
            <w:u w:val="single"/>
            <w:lang w:val="fr-FR"/>
          </w:rPr>
          <w:t>https://www.ictj.org/about/transitional-justice</w:t>
        </w:r>
      </w:hyperlink>
      <w:r w:rsidRPr="00BC7FDF">
        <w:rPr>
          <w:rFonts w:cstheme="minorHAnsi"/>
          <w:lang w:val="fr-FR"/>
        </w:rPr>
        <w:t>.</w:t>
      </w:r>
    </w:p>
    <w:p w:rsidR="008C77AC" w:rsidRPr="00BC7FDF" w:rsidRDefault="008C77AC" w:rsidP="008C77AC">
      <w:pPr>
        <w:spacing w:after="120"/>
        <w:ind w:left="709" w:hanging="709"/>
        <w:jc w:val="both"/>
        <w:rPr>
          <w:rFonts w:cstheme="minorHAnsi"/>
          <w:b/>
          <w:bCs/>
          <w:lang w:val="fr-FR"/>
        </w:rPr>
      </w:pPr>
      <w:r w:rsidRPr="00BC7FDF">
        <w:rPr>
          <w:rFonts w:cstheme="minorHAnsi"/>
          <w:b/>
          <w:bCs/>
          <w:lang w:val="fr-FR"/>
        </w:rPr>
        <w:t>Lectures recommandées</w:t>
      </w:r>
    </w:p>
    <w:p w:rsidR="008C77AC" w:rsidRPr="006D23B8" w:rsidRDefault="008C77AC" w:rsidP="008C77AC">
      <w:pPr>
        <w:spacing w:after="120"/>
        <w:ind w:left="709" w:hanging="709"/>
        <w:jc w:val="both"/>
        <w:rPr>
          <w:rFonts w:cstheme="minorHAnsi"/>
        </w:rPr>
      </w:pPr>
      <w:r w:rsidRPr="00D173A6">
        <w:rPr>
          <w:rFonts w:cstheme="minorHAnsi"/>
          <w:iCs/>
          <w:lang w:val="en-US"/>
        </w:rPr>
        <w:t xml:space="preserve">ARENDT, Hannah: </w:t>
      </w:r>
      <w:r w:rsidRPr="00D173A6">
        <w:rPr>
          <w:rFonts w:cstheme="minorHAnsi"/>
          <w:i/>
          <w:iCs/>
          <w:lang w:val="en-US"/>
        </w:rPr>
        <w:t xml:space="preserve">Eichmann in Jerusalem. </w:t>
      </w:r>
      <w:r w:rsidRPr="00A850A2">
        <w:rPr>
          <w:rFonts w:cstheme="minorHAnsi"/>
          <w:i/>
          <w:iCs/>
          <w:lang w:val="en-US"/>
        </w:rPr>
        <w:t>A Report on the Banality of Evil</w:t>
      </w:r>
      <w:r w:rsidRPr="00A850A2">
        <w:rPr>
          <w:rFonts w:cstheme="minorHAnsi"/>
          <w:lang w:val="en-US"/>
        </w:rPr>
        <w:t>, Penguin Books, 1994</w:t>
      </w:r>
      <w:r w:rsidRPr="00B12B0A">
        <w:rPr>
          <w:rFonts w:cstheme="minorHAnsi"/>
          <w:lang w:val="en-GB"/>
        </w:rPr>
        <w:t xml:space="preserve">, </w:t>
      </w:r>
      <w:r w:rsidRPr="00BA114E">
        <w:rPr>
          <w:rFonts w:cstheme="minorHAnsi"/>
          <w:lang w:val="en-GB"/>
        </w:rPr>
        <w:t xml:space="preserve">New York. </w:t>
      </w:r>
      <w:r w:rsidRPr="006D23B8">
        <w:rPr>
          <w:rFonts w:cstheme="minorHAnsi"/>
        </w:rPr>
        <w:t>“Epilogue”, pp. 253-279.</w:t>
      </w:r>
    </w:p>
    <w:p w:rsidR="008C77AC" w:rsidRPr="00BA114E" w:rsidRDefault="008C77AC" w:rsidP="008C77AC">
      <w:pPr>
        <w:spacing w:after="120"/>
        <w:jc w:val="both"/>
        <w:rPr>
          <w:rFonts w:cstheme="minorHAnsi"/>
          <w:lang w:val="es-ES"/>
        </w:rPr>
      </w:pPr>
      <w:r w:rsidRPr="00BA114E">
        <w:rPr>
          <w:rFonts w:cstheme="minorHAnsi"/>
          <w:lang w:val="es-ES"/>
        </w:rPr>
        <w:t>D’A</w:t>
      </w:r>
      <w:r>
        <w:rPr>
          <w:rFonts w:cstheme="minorHAnsi"/>
          <w:lang w:val="es-ES"/>
        </w:rPr>
        <w:t>LESSIO</w:t>
      </w:r>
      <w:r w:rsidRPr="00BA114E">
        <w:rPr>
          <w:rFonts w:cstheme="minorHAnsi"/>
          <w:lang w:val="es-ES"/>
        </w:rPr>
        <w:t xml:space="preserve">, Andrés J. (2008), </w:t>
      </w:r>
      <w:r w:rsidRPr="00BA114E">
        <w:rPr>
          <w:rFonts w:cstheme="minorHAnsi"/>
          <w:i/>
          <w:lang w:val="es-ES"/>
        </w:rPr>
        <w:t>Los delitos de lesa humanidad</w:t>
      </w:r>
      <w:r w:rsidRPr="00BA114E">
        <w:rPr>
          <w:rFonts w:cstheme="minorHAnsi"/>
          <w:lang w:val="es-ES"/>
        </w:rPr>
        <w:t>, Abeledo-Perrot, Buenos Aires.</w:t>
      </w:r>
    </w:p>
    <w:p w:rsidR="008C77AC" w:rsidRPr="00A347C8" w:rsidRDefault="008C77AC" w:rsidP="008C77AC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  <w:bCs/>
          <w:lang w:val="es-ES"/>
        </w:rPr>
        <w:t>ELSTER</w:t>
      </w:r>
      <w:r w:rsidRPr="0000474E">
        <w:rPr>
          <w:rFonts w:cstheme="minorHAnsi"/>
          <w:bCs/>
          <w:lang w:val="es-ES"/>
        </w:rPr>
        <w:t xml:space="preserve">, Jon. 2006. </w:t>
      </w:r>
      <w:r w:rsidRPr="00A347C8">
        <w:rPr>
          <w:rFonts w:cstheme="minorHAnsi"/>
        </w:rPr>
        <w:t xml:space="preserve">“La estructura de la justicia transicional”, en </w:t>
      </w:r>
      <w:r w:rsidRPr="0000474E">
        <w:rPr>
          <w:rFonts w:cstheme="minorHAnsi"/>
          <w:bCs/>
          <w:i/>
          <w:iCs/>
          <w:lang w:val="es-ES"/>
        </w:rPr>
        <w:t>Rendición de cuentas. La justicia transicional en perspectiva histórica</w:t>
      </w:r>
      <w:r w:rsidRPr="0000474E">
        <w:rPr>
          <w:rFonts w:cstheme="minorHAnsi"/>
          <w:bCs/>
          <w:lang w:val="es-ES"/>
        </w:rPr>
        <w:t>, Buenos Aires: Katz</w:t>
      </w:r>
      <w:r w:rsidRPr="00A347C8">
        <w:rPr>
          <w:rFonts w:cstheme="minorHAnsi"/>
        </w:rPr>
        <w:t>, pp. 99-169.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lang w:val="fr-FR"/>
        </w:rPr>
      </w:pPr>
      <w:r>
        <w:rPr>
          <w:lang w:val="fr-FR"/>
        </w:rPr>
        <w:t>GARIBIAN</w:t>
      </w:r>
      <w:r w:rsidRPr="002A1BCB">
        <w:rPr>
          <w:lang w:val="fr-FR"/>
        </w:rPr>
        <w:t xml:space="preserve">, </w:t>
      </w:r>
      <w:proofErr w:type="spellStart"/>
      <w:r w:rsidRPr="002A1BCB">
        <w:rPr>
          <w:lang w:val="fr-FR"/>
        </w:rPr>
        <w:t>Sévane</w:t>
      </w:r>
      <w:proofErr w:type="spellEnd"/>
      <w:r>
        <w:rPr>
          <w:lang w:val="fr-FR"/>
        </w:rPr>
        <w:t xml:space="preserve"> (2009)</w:t>
      </w:r>
      <w:r w:rsidRPr="002A1BCB">
        <w:rPr>
          <w:lang w:val="fr-FR"/>
        </w:rPr>
        <w:t xml:space="preserve">, </w:t>
      </w:r>
      <w:r w:rsidRPr="002A1BCB">
        <w:rPr>
          <w:i/>
          <w:lang w:val="fr-FR"/>
        </w:rPr>
        <w:t>Le crime contre l’humanité au regard des principes fondateurs de l’Etat moderne. Naissance et consécration d’un concept</w:t>
      </w:r>
      <w:r w:rsidRPr="002A1BCB">
        <w:rPr>
          <w:lang w:val="fr-FR"/>
        </w:rPr>
        <w:t>, Faculté de Droit de Genève, 2009.</w:t>
      </w:r>
    </w:p>
    <w:p w:rsidR="008C77AC" w:rsidRPr="00484B3A" w:rsidRDefault="008C77AC" w:rsidP="008C77AC">
      <w:pPr>
        <w:spacing w:after="120" w:line="240" w:lineRule="auto"/>
        <w:ind w:left="709" w:hanging="709"/>
        <w:jc w:val="both"/>
        <w:rPr>
          <w:lang w:val="fr-FR"/>
        </w:rPr>
      </w:pPr>
      <w:r>
        <w:rPr>
          <w:lang w:val="fr-FR"/>
        </w:rPr>
        <w:t xml:space="preserve">HAZAN, Pierre (2010), </w:t>
      </w:r>
      <w:r>
        <w:rPr>
          <w:i/>
          <w:lang w:val="fr-FR"/>
        </w:rPr>
        <w:t>La Paix contre la Justice ? Comment reconstruire un état avec des criminels de guerre</w:t>
      </w:r>
      <w:r>
        <w:rPr>
          <w:lang w:val="fr-FR"/>
        </w:rPr>
        <w:t xml:space="preserve">, Bruxelles : André </w:t>
      </w:r>
      <w:proofErr w:type="spellStart"/>
      <w:r>
        <w:rPr>
          <w:lang w:val="fr-FR"/>
        </w:rPr>
        <w:t>Versaille</w:t>
      </w:r>
      <w:proofErr w:type="spellEnd"/>
      <w:r>
        <w:rPr>
          <w:lang w:val="fr-FR"/>
        </w:rPr>
        <w:t xml:space="preserve"> Éditeur.</w:t>
      </w:r>
    </w:p>
    <w:p w:rsidR="0080184C" w:rsidRPr="0000474E" w:rsidRDefault="0080184C" w:rsidP="0080184C">
      <w:pPr>
        <w:spacing w:after="120" w:line="240" w:lineRule="auto"/>
        <w:ind w:left="709" w:hanging="709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LEFRANC</w:t>
      </w:r>
      <w:r w:rsidRPr="0000474E">
        <w:rPr>
          <w:rFonts w:cstheme="minorHAnsi"/>
          <w:lang w:val="fr-FR"/>
        </w:rPr>
        <w:t xml:space="preserve">, Sandrine (2008), « La justice transitionnelle n’est pas un concept », </w:t>
      </w:r>
      <w:r w:rsidRPr="0000474E">
        <w:rPr>
          <w:rFonts w:cstheme="minorHAnsi"/>
          <w:i/>
          <w:lang w:val="fr-FR"/>
        </w:rPr>
        <w:t xml:space="preserve">Mouvements, </w:t>
      </w:r>
      <w:r w:rsidRPr="0000474E">
        <w:rPr>
          <w:rFonts w:cstheme="minorHAnsi"/>
          <w:lang w:val="fr-FR"/>
        </w:rPr>
        <w:t>N° 53, mars-mai 2008, La Découverte, Paris, pp. 61-69.</w:t>
      </w:r>
    </w:p>
    <w:p w:rsidR="008C77AC" w:rsidRPr="006D23B8" w:rsidRDefault="008C77AC" w:rsidP="008C77AC">
      <w:pPr>
        <w:spacing w:after="120" w:line="240" w:lineRule="auto"/>
        <w:ind w:left="709" w:hanging="709"/>
        <w:jc w:val="both"/>
        <w:rPr>
          <w:color w:val="323232"/>
          <w:shd w:val="clear" w:color="auto" w:fill="FFFFFF"/>
          <w:lang w:val="fr-FR"/>
        </w:rPr>
      </w:pPr>
      <w:r w:rsidRPr="009C48EA">
        <w:rPr>
          <w:color w:val="323232"/>
          <w:shd w:val="clear" w:color="auto" w:fill="FFFFFF"/>
          <w:lang w:val="fr-FR"/>
        </w:rPr>
        <w:t>MARIAT Kevin, « Justice transitionnelle extrajudiciaire, Cour pénale internationale et intérêts de la justice », </w:t>
      </w:r>
      <w:r w:rsidRPr="009C48EA">
        <w:rPr>
          <w:i/>
          <w:iCs/>
          <w:color w:val="323232"/>
          <w:shd w:val="clear" w:color="auto" w:fill="FFFFFF"/>
          <w:lang w:val="fr-FR"/>
        </w:rPr>
        <w:t>Revue de science criminelle et de droit pénal comparé</w:t>
      </w:r>
      <w:r w:rsidRPr="009C48EA">
        <w:rPr>
          <w:color w:val="323232"/>
          <w:shd w:val="clear" w:color="auto" w:fill="FFFFFF"/>
          <w:lang w:val="fr-FR"/>
        </w:rPr>
        <w:t xml:space="preserve">, 2020/3 (N° 3), p. </w:t>
      </w:r>
      <w:r w:rsidRPr="009C48EA">
        <w:rPr>
          <w:color w:val="323232"/>
          <w:shd w:val="clear" w:color="auto" w:fill="FFFFFF"/>
          <w:lang w:val="fr-FR"/>
        </w:rPr>
        <w:lastRenderedPageBreak/>
        <w:t xml:space="preserve">543-556. DOI : 10.3917/rsc.2003.0543. </w:t>
      </w:r>
      <w:r w:rsidRPr="006D23B8">
        <w:rPr>
          <w:color w:val="323232"/>
          <w:shd w:val="clear" w:color="auto" w:fill="FFFFFF"/>
          <w:lang w:val="fr-FR"/>
        </w:rPr>
        <w:t xml:space="preserve">URL : </w:t>
      </w:r>
      <w:hyperlink r:id="rId6" w:history="1">
        <w:r w:rsidRPr="008C77AC">
          <w:rPr>
            <w:rStyle w:val="Lienhypertexte"/>
            <w:shd w:val="clear" w:color="auto" w:fill="FFFFFF"/>
            <w:lang w:val="fr-FR"/>
          </w:rPr>
          <w:t>https://www.cairn.info/revue-de-science-criminelle-et-de-droit-penal-compare-2020-3-page-543.htm</w:t>
        </w:r>
      </w:hyperlink>
    </w:p>
    <w:p w:rsidR="008C77AC" w:rsidRPr="00A850A2" w:rsidRDefault="008C77AC" w:rsidP="008C77AC">
      <w:pPr>
        <w:spacing w:after="120"/>
        <w:ind w:left="709" w:hanging="709"/>
        <w:jc w:val="both"/>
        <w:rPr>
          <w:rFonts w:cstheme="minorHAnsi"/>
          <w:bCs/>
          <w:lang w:val="en-US"/>
        </w:rPr>
      </w:pPr>
      <w:r w:rsidRPr="00A347C8">
        <w:rPr>
          <w:rFonts w:cstheme="minorHAnsi"/>
          <w:bCs/>
        </w:rPr>
        <w:t>M</w:t>
      </w:r>
      <w:r>
        <w:rPr>
          <w:rFonts w:cstheme="minorHAnsi"/>
          <w:bCs/>
        </w:rPr>
        <w:t>ARTÍN</w:t>
      </w:r>
      <w:r w:rsidRPr="00A347C8">
        <w:rPr>
          <w:rFonts w:cstheme="minorHAnsi"/>
          <w:bCs/>
        </w:rPr>
        <w:t xml:space="preserve">, Lucas (2018). </w:t>
      </w:r>
      <w:r w:rsidRPr="00A347C8">
        <w:rPr>
          <w:rFonts w:cstheme="minorHAnsi"/>
          <w:b/>
          <w:bCs/>
        </w:rPr>
        <w:t>“</w:t>
      </w:r>
      <w:r w:rsidRPr="00A347C8">
        <w:rPr>
          <w:rFonts w:cstheme="minorHAnsi"/>
        </w:rPr>
        <w:t>Justicia política luego de regímenes criminales. Problemas estructurales, excepcionalidad y legitimidad</w:t>
      </w:r>
      <w:r w:rsidRPr="00A347C8">
        <w:rPr>
          <w:rFonts w:cstheme="minorHAnsi"/>
          <w:bCs/>
        </w:rPr>
        <w:t xml:space="preserve">”, </w:t>
      </w:r>
      <w:r w:rsidRPr="00A347C8">
        <w:rPr>
          <w:rFonts w:cstheme="minorHAnsi"/>
          <w:bCs/>
          <w:i/>
        </w:rPr>
        <w:t>Estudios. Filosofía práctica e historia de las ideas</w:t>
      </w:r>
      <w:r w:rsidRPr="00A347C8">
        <w:rPr>
          <w:rFonts w:cstheme="minorHAnsi"/>
          <w:bCs/>
        </w:rPr>
        <w:t xml:space="preserve">, INCIHUSA/CONICET, </w:t>
      </w:r>
      <w:proofErr w:type="spellStart"/>
      <w:r w:rsidRPr="00A347C8">
        <w:rPr>
          <w:rFonts w:cstheme="minorHAnsi"/>
          <w:bCs/>
        </w:rPr>
        <w:t>vol</w:t>
      </w:r>
      <w:proofErr w:type="spellEnd"/>
      <w:r w:rsidRPr="00A347C8">
        <w:rPr>
          <w:rFonts w:cstheme="minorHAnsi"/>
          <w:bCs/>
        </w:rPr>
        <w:t xml:space="preserve">, 20, marzo de 2018, pp. 1-28. </w:t>
      </w:r>
      <w:r w:rsidRPr="00A850A2">
        <w:rPr>
          <w:rFonts w:cstheme="minorHAnsi"/>
          <w:bCs/>
          <w:lang w:val="en-US"/>
        </w:rPr>
        <w:t xml:space="preserve">URL: </w:t>
      </w:r>
      <w:hyperlink r:id="rId7" w:history="1">
        <w:r w:rsidRPr="00A850A2">
          <w:rPr>
            <w:rStyle w:val="Lienhypertexte"/>
            <w:rFonts w:cstheme="minorHAnsi"/>
            <w:bCs/>
            <w:lang w:val="en-US"/>
          </w:rPr>
          <w:t>http://qellqasqa.com.ar/ojs/index.php/estudios/article/view/254</w:t>
        </w:r>
      </w:hyperlink>
      <w:r w:rsidRPr="00A850A2">
        <w:rPr>
          <w:rFonts w:cstheme="minorHAnsi"/>
          <w:b/>
          <w:bCs/>
          <w:lang w:val="en-US"/>
        </w:rPr>
        <w:t xml:space="preserve">  </w:t>
      </w:r>
    </w:p>
    <w:p w:rsidR="008C77AC" w:rsidRPr="00D173A6" w:rsidRDefault="008C77AC" w:rsidP="008C77AC">
      <w:pPr>
        <w:spacing w:after="120" w:line="240" w:lineRule="auto"/>
        <w:ind w:left="709" w:hanging="709"/>
        <w:jc w:val="both"/>
        <w:rPr>
          <w:color w:val="323232"/>
          <w:shd w:val="clear" w:color="auto" w:fill="FFFFFF"/>
          <w:lang w:val="fr-FR"/>
        </w:rPr>
      </w:pPr>
      <w:r w:rsidRPr="002A1BCB">
        <w:rPr>
          <w:color w:val="323232"/>
          <w:shd w:val="clear" w:color="auto" w:fill="FFFFFF"/>
          <w:lang w:val="fr-FR"/>
        </w:rPr>
        <w:t>PHILIPPE Xavier, « La mémoire et l’oubli : la place de la justice transitionnelle », </w:t>
      </w:r>
      <w:r w:rsidRPr="002A1BCB">
        <w:rPr>
          <w:i/>
          <w:iCs/>
          <w:color w:val="323232"/>
          <w:shd w:val="clear" w:color="auto" w:fill="FFFFFF"/>
          <w:lang w:val="fr-FR"/>
        </w:rPr>
        <w:t>Les Cahiers Portalis</w:t>
      </w:r>
      <w:r w:rsidRPr="002A1BCB">
        <w:rPr>
          <w:color w:val="323232"/>
          <w:shd w:val="clear" w:color="auto" w:fill="FFFFFF"/>
          <w:lang w:val="fr-FR"/>
        </w:rPr>
        <w:t xml:space="preserve">, 2016/1 (N° 3), p. 33-42. DOI : 10.3917/capo.003.0033. </w:t>
      </w:r>
      <w:r w:rsidRPr="00D173A6">
        <w:rPr>
          <w:color w:val="323232"/>
          <w:shd w:val="clear" w:color="auto" w:fill="FFFFFF"/>
          <w:lang w:val="fr-FR"/>
        </w:rPr>
        <w:t xml:space="preserve">URL : </w:t>
      </w:r>
      <w:hyperlink r:id="rId8" w:history="1">
        <w:r w:rsidRPr="008C77AC">
          <w:rPr>
            <w:rStyle w:val="Lienhypertexte"/>
            <w:shd w:val="clear" w:color="auto" w:fill="FFFFFF"/>
            <w:lang w:val="fr-FR"/>
          </w:rPr>
          <w:t>https://www.cairn.info/revue-les-cahiers-portalis-2016-1-page-33.htm</w:t>
        </w:r>
      </w:hyperlink>
    </w:p>
    <w:p w:rsidR="008C77AC" w:rsidRPr="007C23F9" w:rsidRDefault="008C77AC" w:rsidP="008C77AC">
      <w:pPr>
        <w:spacing w:after="120" w:line="240" w:lineRule="auto"/>
        <w:ind w:left="709" w:hanging="709"/>
        <w:jc w:val="both"/>
        <w:rPr>
          <w:lang w:val="en-US"/>
        </w:rPr>
      </w:pPr>
      <w:r w:rsidRPr="00DE1242">
        <w:rPr>
          <w:lang w:val="en-US"/>
        </w:rPr>
        <w:t>S</w:t>
      </w:r>
      <w:r>
        <w:rPr>
          <w:lang w:val="en-US"/>
        </w:rPr>
        <w:t>IKKINK</w:t>
      </w:r>
      <w:r w:rsidRPr="00DE1242">
        <w:rPr>
          <w:lang w:val="en-US"/>
        </w:rPr>
        <w:t>, Kathryn</w:t>
      </w:r>
      <w:r>
        <w:rPr>
          <w:lang w:val="en-US"/>
        </w:rPr>
        <w:t xml:space="preserve"> (2017)</w:t>
      </w:r>
      <w:r w:rsidRPr="00DE1242">
        <w:rPr>
          <w:lang w:val="en-US"/>
        </w:rPr>
        <w:t xml:space="preserve">, </w:t>
      </w:r>
      <w:r w:rsidRPr="00DE1242">
        <w:rPr>
          <w:i/>
          <w:lang w:val="en-US"/>
        </w:rPr>
        <w:t>Evidence for Hope :</w:t>
      </w:r>
      <w:r>
        <w:rPr>
          <w:i/>
          <w:lang w:val="en-US"/>
        </w:rPr>
        <w:t xml:space="preserve"> Making Human Rights Work in the 21</w:t>
      </w:r>
      <w:r w:rsidRPr="00DE1242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Century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Princceton</w:t>
      </w:r>
      <w:proofErr w:type="spellEnd"/>
      <w:r>
        <w:rPr>
          <w:lang w:val="en-US"/>
        </w:rPr>
        <w:t xml:space="preserve"> University Press.</w:t>
      </w:r>
    </w:p>
    <w:p w:rsidR="008C77AC" w:rsidRPr="00D173A6" w:rsidRDefault="008C77AC" w:rsidP="008C77AC">
      <w:pPr>
        <w:spacing w:after="120"/>
        <w:ind w:left="709" w:hanging="709"/>
        <w:jc w:val="both"/>
        <w:rPr>
          <w:rFonts w:cstheme="minorHAnsi"/>
          <w:b/>
        </w:rPr>
      </w:pPr>
      <w:r w:rsidRPr="00B12B0A">
        <w:rPr>
          <w:rFonts w:cstheme="minorHAnsi"/>
          <w:lang w:val="es-ES"/>
        </w:rPr>
        <w:t>Z</w:t>
      </w:r>
      <w:r>
        <w:rPr>
          <w:rFonts w:cstheme="minorHAnsi"/>
          <w:lang w:val="es-ES"/>
        </w:rPr>
        <w:t>OLO</w:t>
      </w:r>
      <w:r w:rsidRPr="00B12B0A">
        <w:rPr>
          <w:rFonts w:cstheme="minorHAnsi"/>
          <w:lang w:val="es-ES"/>
        </w:rPr>
        <w:t xml:space="preserve">, Danilo. 2007. “De </w:t>
      </w:r>
      <w:proofErr w:type="spellStart"/>
      <w:r w:rsidRPr="00B12B0A">
        <w:rPr>
          <w:rFonts w:cstheme="minorHAnsi"/>
          <w:lang w:val="es-ES"/>
        </w:rPr>
        <w:t>Nüremberg</w:t>
      </w:r>
      <w:proofErr w:type="spellEnd"/>
      <w:r w:rsidRPr="00B12B0A">
        <w:rPr>
          <w:rFonts w:cstheme="minorHAnsi"/>
          <w:lang w:val="es-ES"/>
        </w:rPr>
        <w:t xml:space="preserve"> a Bagdad”, en </w:t>
      </w:r>
      <w:r w:rsidRPr="00B12B0A">
        <w:rPr>
          <w:rFonts w:cstheme="minorHAnsi"/>
          <w:i/>
          <w:lang w:val="es-ES"/>
        </w:rPr>
        <w:t xml:space="preserve">La justicia de los vencedores. </w:t>
      </w:r>
      <w:r w:rsidRPr="00D173A6">
        <w:rPr>
          <w:rFonts w:cstheme="minorHAnsi"/>
          <w:i/>
        </w:rPr>
        <w:t>De Nuremberg a Bagdad</w:t>
      </w:r>
      <w:r w:rsidRPr="00D173A6">
        <w:rPr>
          <w:rFonts w:cstheme="minorHAnsi"/>
        </w:rPr>
        <w:t>. Madrid: Trotta, pp. 157-183.</w:t>
      </w:r>
    </w:p>
    <w:p w:rsidR="008C77AC" w:rsidRPr="00A347C8" w:rsidRDefault="008C77AC" w:rsidP="008C77AC">
      <w:pPr>
        <w:spacing w:after="120"/>
        <w:ind w:left="709" w:hanging="709"/>
        <w:jc w:val="both"/>
        <w:rPr>
          <w:rFonts w:cstheme="minorHAnsi"/>
          <w:b/>
        </w:rPr>
      </w:pPr>
      <w:proofErr w:type="spellStart"/>
      <w:r w:rsidRPr="00A347C8">
        <w:rPr>
          <w:rFonts w:cstheme="minorHAnsi"/>
          <w:b/>
        </w:rPr>
        <w:t>Document</w:t>
      </w:r>
      <w:proofErr w:type="spellEnd"/>
      <w:r w:rsidRPr="00A347C8">
        <w:rPr>
          <w:rFonts w:cstheme="minorHAnsi"/>
          <w:b/>
        </w:rPr>
        <w:t>:</w:t>
      </w:r>
    </w:p>
    <w:p w:rsidR="008C77AC" w:rsidRPr="00E33C1F" w:rsidRDefault="008C77AC" w:rsidP="008C77AC">
      <w:pPr>
        <w:spacing w:after="120"/>
        <w:ind w:left="709" w:hanging="709"/>
        <w:jc w:val="both"/>
        <w:rPr>
          <w:rFonts w:cstheme="minorHAnsi"/>
          <w:lang w:val="es-ES"/>
        </w:rPr>
      </w:pPr>
      <w:proofErr w:type="spellStart"/>
      <w:r w:rsidRPr="00E33C1F">
        <w:rPr>
          <w:rFonts w:cstheme="minorHAnsi"/>
          <w:i/>
          <w:lang w:val="es-ES"/>
        </w:rPr>
        <w:t>Statut</w:t>
      </w:r>
      <w:proofErr w:type="spellEnd"/>
      <w:r w:rsidRPr="00E33C1F">
        <w:rPr>
          <w:rFonts w:cstheme="minorHAnsi"/>
          <w:i/>
          <w:lang w:val="es-ES"/>
        </w:rPr>
        <w:t xml:space="preserve"> de Roma</w:t>
      </w:r>
      <w:r w:rsidRPr="00E33C1F">
        <w:rPr>
          <w:rFonts w:cstheme="minorHAnsi"/>
          <w:lang w:val="es-ES"/>
        </w:rPr>
        <w:t xml:space="preserve"> (1998), </w:t>
      </w:r>
      <w:hyperlink r:id="rId9" w:history="1">
        <w:r w:rsidRPr="00E33C1F">
          <w:rPr>
            <w:rStyle w:val="Lienhypertexte"/>
            <w:rFonts w:cstheme="minorHAnsi"/>
            <w:lang w:val="es-ES"/>
          </w:rPr>
          <w:t>https://www.icc-cpi.int/sites/default/files/NR/rdonlyres/ADD16852-AEE9-4757-ABE7-9CDC7CF02886/283948/RomeStatuteFra1.pdf</w:t>
        </w:r>
      </w:hyperlink>
      <w:r w:rsidRPr="00E33C1F">
        <w:rPr>
          <w:rFonts w:cstheme="minorHAnsi"/>
          <w:lang w:val="es-ES"/>
        </w:rPr>
        <w:t xml:space="preserve">. </w:t>
      </w:r>
    </w:p>
    <w:p w:rsidR="008C77AC" w:rsidRPr="00E33C1F" w:rsidRDefault="008C77AC" w:rsidP="008C77AC">
      <w:pPr>
        <w:spacing w:after="120"/>
        <w:ind w:left="709" w:hanging="709"/>
        <w:jc w:val="both"/>
        <w:rPr>
          <w:rFonts w:cstheme="minorHAnsi"/>
          <w:lang w:val="es-ES"/>
        </w:rPr>
      </w:pPr>
    </w:p>
    <w:p w:rsidR="008C77AC" w:rsidRPr="008C77AC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9" w:hanging="709"/>
        <w:jc w:val="both"/>
        <w:rPr>
          <w:rFonts w:cstheme="minorHAnsi"/>
          <w:b/>
          <w:smallCaps/>
          <w:sz w:val="24"/>
          <w:szCs w:val="24"/>
          <w:lang w:val="en-US"/>
        </w:rPr>
      </w:pPr>
      <w:r w:rsidRPr="008C77AC">
        <w:rPr>
          <w:rFonts w:cstheme="minorHAnsi"/>
          <w:b/>
          <w:smallCaps/>
          <w:sz w:val="24"/>
          <w:szCs w:val="24"/>
          <w:lang w:val="en-US"/>
        </w:rPr>
        <w:t>Séance 2</w:t>
      </w:r>
    </w:p>
    <w:p w:rsidR="008C77AC" w:rsidRPr="008C77AC" w:rsidRDefault="008C77AC" w:rsidP="008C77AC">
      <w:pPr>
        <w:spacing w:after="120"/>
        <w:ind w:left="709" w:hanging="709"/>
        <w:jc w:val="both"/>
        <w:rPr>
          <w:rFonts w:cstheme="minorHAnsi"/>
          <w:b/>
          <w:lang w:val="en-US"/>
        </w:rPr>
      </w:pPr>
      <w:r w:rsidRPr="008C77AC">
        <w:rPr>
          <w:rFonts w:cstheme="minorHAnsi"/>
          <w:b/>
          <w:lang w:val="en-US"/>
        </w:rPr>
        <w:t xml:space="preserve">Lecture </w:t>
      </w:r>
      <w:proofErr w:type="spellStart"/>
      <w:r w:rsidRPr="008C77AC">
        <w:rPr>
          <w:rFonts w:cstheme="minorHAnsi"/>
          <w:b/>
          <w:lang w:val="en-US"/>
        </w:rPr>
        <w:t>obligatoire</w:t>
      </w:r>
      <w:proofErr w:type="spellEnd"/>
    </w:p>
    <w:p w:rsidR="008C77AC" w:rsidRPr="006D23B8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 w:rsidRPr="00E33C1F">
        <w:rPr>
          <w:rFonts w:cstheme="minorHAnsi"/>
          <w:lang w:val="en-US"/>
        </w:rPr>
        <w:t xml:space="preserve">TEITEL, Ruti G. (2003), “Transitional Justice Genealogy”. </w:t>
      </w:r>
      <w:r w:rsidRPr="006D23B8">
        <w:rPr>
          <w:rFonts w:cstheme="minorHAnsi"/>
          <w:i/>
          <w:lang w:val="en-US"/>
        </w:rPr>
        <w:t>Harvard Human Rights Journal</w:t>
      </w:r>
      <w:r w:rsidRPr="006D23B8">
        <w:rPr>
          <w:rFonts w:cstheme="minorHAnsi"/>
          <w:lang w:val="en-US"/>
        </w:rPr>
        <w:t>, Vol. 16, Spring 2003, Cambridge, MA, pp. 69-94</w:t>
      </w:r>
      <w:r>
        <w:rPr>
          <w:rFonts w:cstheme="minorHAnsi"/>
          <w:lang w:val="en-US"/>
        </w:rPr>
        <w:t>.</w:t>
      </w:r>
    </w:p>
    <w:p w:rsidR="008C77AC" w:rsidRPr="00D12FA3" w:rsidRDefault="008C77AC" w:rsidP="008C77AC">
      <w:pPr>
        <w:spacing w:after="120"/>
        <w:ind w:left="709" w:hanging="709"/>
        <w:jc w:val="both"/>
        <w:rPr>
          <w:b/>
          <w:color w:val="323232"/>
          <w:shd w:val="clear" w:color="auto" w:fill="FFFFFF"/>
          <w:lang w:val="fr-FR"/>
        </w:rPr>
      </w:pPr>
      <w:r w:rsidRPr="00D12FA3">
        <w:rPr>
          <w:b/>
          <w:color w:val="323232"/>
          <w:shd w:val="clear" w:color="auto" w:fill="FFFFFF"/>
          <w:lang w:val="fr-FR"/>
        </w:rPr>
        <w:t>Lecture pour le débat</w:t>
      </w:r>
    </w:p>
    <w:p w:rsidR="008C77AC" w:rsidRPr="00E33C1F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>
        <w:rPr>
          <w:rFonts w:cstheme="minorHAnsi"/>
          <w:lang w:val="fr-FR"/>
        </w:rPr>
        <w:t>GARAPON</w:t>
      </w:r>
      <w:r w:rsidRPr="00BA114E">
        <w:rPr>
          <w:rFonts w:cstheme="minorHAnsi"/>
          <w:lang w:val="fr-FR"/>
        </w:rPr>
        <w:t>, Antoine (2002),</w:t>
      </w:r>
      <w:r>
        <w:rPr>
          <w:rFonts w:cstheme="minorHAnsi"/>
          <w:lang w:val="fr-FR"/>
        </w:rPr>
        <w:t xml:space="preserve"> « Introduction » et « </w:t>
      </w:r>
      <w:r w:rsidRPr="00D12FA3">
        <w:rPr>
          <w:rFonts w:cstheme="minorHAnsi"/>
          <w:lang w:val="fr-FR"/>
        </w:rPr>
        <w:t>Chapitre premier. Une utopie de l’après-guerre froide</w:t>
      </w:r>
      <w:r>
        <w:rPr>
          <w:rFonts w:cstheme="minorHAnsi"/>
          <w:lang w:val="fr-FR"/>
        </w:rPr>
        <w:t> »,</w:t>
      </w:r>
      <w:r w:rsidRPr="00BA114E">
        <w:rPr>
          <w:rFonts w:cstheme="minorHAnsi"/>
          <w:lang w:val="fr-FR"/>
        </w:rPr>
        <w:t xml:space="preserve"> </w:t>
      </w:r>
      <w:r w:rsidRPr="00BA114E">
        <w:rPr>
          <w:rFonts w:cstheme="minorHAnsi"/>
          <w:i/>
          <w:lang w:val="fr-FR"/>
        </w:rPr>
        <w:t xml:space="preserve">Des crimes qu’on ne peut punir ni pardonner. </w:t>
      </w:r>
      <w:r w:rsidRPr="00E33C1F">
        <w:rPr>
          <w:rFonts w:cstheme="minorHAnsi"/>
          <w:i/>
          <w:lang w:val="en-US"/>
        </w:rPr>
        <w:t xml:space="preserve">Pour </w:t>
      </w:r>
      <w:proofErr w:type="spellStart"/>
      <w:r w:rsidRPr="00E33C1F">
        <w:rPr>
          <w:rFonts w:cstheme="minorHAnsi"/>
          <w:i/>
          <w:lang w:val="en-US"/>
        </w:rPr>
        <w:t>une</w:t>
      </w:r>
      <w:proofErr w:type="spellEnd"/>
      <w:r w:rsidRPr="00E33C1F">
        <w:rPr>
          <w:rFonts w:cstheme="minorHAnsi"/>
          <w:i/>
          <w:lang w:val="en-US"/>
        </w:rPr>
        <w:t xml:space="preserve"> justice </w:t>
      </w:r>
      <w:proofErr w:type="spellStart"/>
      <w:r w:rsidRPr="00E33C1F">
        <w:rPr>
          <w:rFonts w:cstheme="minorHAnsi"/>
          <w:i/>
          <w:lang w:val="en-US"/>
        </w:rPr>
        <w:t>internationale</w:t>
      </w:r>
      <w:proofErr w:type="spellEnd"/>
      <w:r w:rsidRPr="00E33C1F">
        <w:rPr>
          <w:rFonts w:cstheme="minorHAnsi"/>
          <w:lang w:val="en-US"/>
        </w:rPr>
        <w:t>, Odile Jacob, Paris.</w:t>
      </w:r>
    </w:p>
    <w:p w:rsidR="008C77AC" w:rsidRPr="00E33C1F" w:rsidRDefault="008C77AC" w:rsidP="008C77AC">
      <w:pPr>
        <w:spacing w:after="120"/>
        <w:ind w:left="709" w:hanging="709"/>
        <w:jc w:val="both"/>
        <w:rPr>
          <w:b/>
          <w:color w:val="323232"/>
          <w:shd w:val="clear" w:color="auto" w:fill="FFFFFF"/>
          <w:lang w:val="en-US"/>
        </w:rPr>
      </w:pPr>
      <w:r w:rsidRPr="00E33C1F">
        <w:rPr>
          <w:b/>
          <w:color w:val="323232"/>
          <w:shd w:val="clear" w:color="auto" w:fill="FFFFFF"/>
          <w:lang w:val="en-US"/>
        </w:rPr>
        <w:t xml:space="preserve">Lectures </w:t>
      </w:r>
      <w:proofErr w:type="spellStart"/>
      <w:r w:rsidRPr="00E33C1F">
        <w:rPr>
          <w:b/>
          <w:color w:val="323232"/>
          <w:shd w:val="clear" w:color="auto" w:fill="FFFFFF"/>
          <w:lang w:val="en-US"/>
        </w:rPr>
        <w:t>recommandées</w:t>
      </w:r>
      <w:proofErr w:type="spellEnd"/>
    </w:p>
    <w:p w:rsidR="008C77AC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 w:rsidRPr="00F00B20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RTHUR</w:t>
      </w:r>
      <w:r w:rsidRPr="00F00B20">
        <w:rPr>
          <w:rFonts w:cstheme="minorHAnsi"/>
          <w:lang w:val="en-US"/>
        </w:rPr>
        <w:t xml:space="preserve">, Page (2009), How ‘Transitions’ Reshaped Human Rights: A Conceptual History of Transitional Justice, </w:t>
      </w:r>
      <w:r w:rsidRPr="00F00B20">
        <w:rPr>
          <w:rFonts w:cstheme="minorHAnsi"/>
          <w:i/>
          <w:lang w:val="en-US"/>
        </w:rPr>
        <w:t>Human Rights Quarterly</w:t>
      </w:r>
      <w:r w:rsidRPr="00F00B20">
        <w:rPr>
          <w:rFonts w:cstheme="minorHAnsi"/>
          <w:lang w:val="en-US"/>
        </w:rPr>
        <w:t>, 31 (2009), 321-367</w:t>
      </w:r>
      <w:r>
        <w:rPr>
          <w:rFonts w:cstheme="minorHAnsi"/>
          <w:lang w:val="en-US"/>
        </w:rPr>
        <w:t>.</w:t>
      </w:r>
    </w:p>
    <w:p w:rsidR="008C77AC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COLLINS</w:t>
      </w:r>
      <w:r w:rsidRPr="00A850A2">
        <w:rPr>
          <w:rFonts w:cstheme="minorHAnsi"/>
          <w:lang w:val="en-US"/>
        </w:rPr>
        <w:t xml:space="preserve">, Cath (2010), “Transitional Justice: Why We Need a New Framework”, </w:t>
      </w:r>
      <w:proofErr w:type="spellStart"/>
      <w:r w:rsidRPr="00A850A2">
        <w:rPr>
          <w:rFonts w:cstheme="minorHAnsi"/>
          <w:lang w:val="en-US"/>
        </w:rPr>
        <w:t>en</w:t>
      </w:r>
      <w:proofErr w:type="spellEnd"/>
      <w:r w:rsidRPr="00A850A2">
        <w:rPr>
          <w:rFonts w:cstheme="minorHAnsi"/>
          <w:lang w:val="en-US"/>
        </w:rPr>
        <w:t xml:space="preserve"> </w:t>
      </w:r>
      <w:r w:rsidRPr="00A850A2">
        <w:rPr>
          <w:rFonts w:cstheme="minorHAnsi"/>
          <w:i/>
          <w:lang w:val="en-US"/>
        </w:rPr>
        <w:t>Post-Transitional Justice. Human Rights Trials in Chile and El Salvador</w:t>
      </w:r>
      <w:r w:rsidRPr="00A850A2">
        <w:rPr>
          <w:rFonts w:cstheme="minorHAnsi"/>
          <w:lang w:val="en-US"/>
        </w:rPr>
        <w:t xml:space="preserve">, Pennsylvania: The Pennsylvania State University Press. </w:t>
      </w:r>
    </w:p>
    <w:p w:rsidR="008C77AC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LESSA, Francesca (2020), </w:t>
      </w:r>
      <w:r w:rsidRPr="00187687">
        <w:rPr>
          <w:rFonts w:cstheme="minorHAnsi"/>
          <w:lang w:val="en-US"/>
        </w:rPr>
        <w:t>«Transitional Justice in Latin America:</w:t>
      </w:r>
      <w:r>
        <w:rPr>
          <w:rFonts w:cstheme="minorHAnsi"/>
          <w:lang w:val="en-US"/>
        </w:rPr>
        <w:t xml:space="preserve"> </w:t>
      </w:r>
      <w:r w:rsidRPr="00187687">
        <w:rPr>
          <w:rFonts w:cstheme="minorHAnsi"/>
          <w:lang w:val="en-US"/>
        </w:rPr>
        <w:t xml:space="preserve">The Enduring Legacy of the Past Three Decades after Democratic Transition», </w:t>
      </w:r>
      <w:proofErr w:type="spellStart"/>
      <w:r w:rsidRPr="00187687">
        <w:rPr>
          <w:rFonts w:cstheme="minorHAnsi"/>
          <w:lang w:val="en-US"/>
        </w:rPr>
        <w:t>en</w:t>
      </w:r>
      <w:proofErr w:type="spellEnd"/>
      <w:r w:rsidRPr="00187687">
        <w:rPr>
          <w:rFonts w:cstheme="minorHAnsi"/>
          <w:lang w:val="en-US"/>
        </w:rPr>
        <w:t xml:space="preserve"> South America,</w:t>
      </w:r>
      <w:r>
        <w:rPr>
          <w:rFonts w:cstheme="minorHAnsi"/>
          <w:lang w:val="en-US"/>
        </w:rPr>
        <w:t xml:space="preserve"> </w:t>
      </w:r>
      <w:r w:rsidRPr="00187687">
        <w:rPr>
          <w:rFonts w:cstheme="minorHAnsi"/>
          <w:lang w:val="en-US"/>
        </w:rPr>
        <w:t>Central America and the Caribbean 2021, 29.ª ed., Abingdon / Nueva York, Routledge, 2020,</w:t>
      </w:r>
      <w:r>
        <w:rPr>
          <w:rFonts w:cstheme="minorHAnsi"/>
          <w:lang w:val="en-US"/>
        </w:rPr>
        <w:t xml:space="preserve"> </w:t>
      </w:r>
      <w:r w:rsidRPr="00187687">
        <w:rPr>
          <w:rFonts w:cstheme="minorHAnsi"/>
          <w:lang w:val="en-US"/>
        </w:rPr>
        <w:t>pp. 1-18.</w:t>
      </w:r>
      <w:r>
        <w:rPr>
          <w:rFonts w:cstheme="minorHAnsi"/>
          <w:lang w:val="en-US"/>
        </w:rPr>
        <w:t xml:space="preserve"> [</w:t>
      </w:r>
      <w:r w:rsidR="00EB1AB8">
        <w:rPr>
          <w:rFonts w:cstheme="minorHAnsi"/>
          <w:i/>
          <w:lang w:val="en-US"/>
        </w:rPr>
        <w:t xml:space="preserve">on </w:t>
      </w:r>
      <w:proofErr w:type="spellStart"/>
      <w:r w:rsidR="00EB1AB8">
        <w:rPr>
          <w:rFonts w:cstheme="minorHAnsi"/>
          <w:i/>
          <w:lang w:val="en-US"/>
        </w:rPr>
        <w:t>trouve</w:t>
      </w:r>
      <w:proofErr w:type="spellEnd"/>
      <w:r w:rsidR="00EB1AB8">
        <w:rPr>
          <w:rFonts w:cstheme="minorHAnsi"/>
          <w:i/>
          <w:lang w:val="en-US"/>
        </w:rPr>
        <w:t xml:space="preserve"> </w:t>
      </w:r>
      <w:proofErr w:type="spellStart"/>
      <w:r w:rsidR="00EB1AB8">
        <w:rPr>
          <w:rFonts w:cstheme="minorHAnsi"/>
          <w:i/>
          <w:lang w:val="en-US"/>
        </w:rPr>
        <w:t>une</w:t>
      </w:r>
      <w:proofErr w:type="spellEnd"/>
      <w:r w:rsidR="00EB1AB8">
        <w:rPr>
          <w:rFonts w:cstheme="minorHAnsi"/>
          <w:i/>
          <w:lang w:val="en-US"/>
        </w:rPr>
        <w:t xml:space="preserve"> </w:t>
      </w:r>
      <w:r w:rsidRPr="00EB1AB8">
        <w:rPr>
          <w:rFonts w:cstheme="minorHAnsi"/>
          <w:i/>
          <w:lang w:val="en-US"/>
        </w:rPr>
        <w:t xml:space="preserve">version </w:t>
      </w:r>
      <w:proofErr w:type="spellStart"/>
      <w:r w:rsidRPr="00EB1AB8">
        <w:rPr>
          <w:rFonts w:cstheme="minorHAnsi"/>
          <w:i/>
          <w:lang w:val="en-US"/>
        </w:rPr>
        <w:t>en</w:t>
      </w:r>
      <w:proofErr w:type="spellEnd"/>
      <w:r w:rsidRPr="00EB1AB8">
        <w:rPr>
          <w:rFonts w:cstheme="minorHAnsi"/>
          <w:i/>
          <w:lang w:val="en-US"/>
        </w:rPr>
        <w:t xml:space="preserve"> </w:t>
      </w:r>
      <w:proofErr w:type="spellStart"/>
      <w:r w:rsidRPr="00EB1AB8">
        <w:rPr>
          <w:rFonts w:cstheme="minorHAnsi"/>
          <w:i/>
          <w:lang w:val="en-US"/>
        </w:rPr>
        <w:t>espagnol</w:t>
      </w:r>
      <w:proofErr w:type="spellEnd"/>
      <w:r>
        <w:rPr>
          <w:rFonts w:cstheme="minorHAnsi"/>
          <w:lang w:val="en-US"/>
        </w:rPr>
        <w:t>]</w:t>
      </w:r>
    </w:p>
    <w:p w:rsidR="008C77AC" w:rsidRPr="00A850A2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LESSA, F.; OLSEN, T. D.; PAYNE, Leigh A.; PEREIRA, G.; REITER, Andrew G. (2014), “</w:t>
      </w:r>
      <w:r w:rsidRPr="005F3251">
        <w:rPr>
          <w:rFonts w:cstheme="minorHAnsi"/>
          <w:lang w:val="en-US"/>
        </w:rPr>
        <w:t>Overcoming Impunity: Pathways to</w:t>
      </w:r>
      <w:r>
        <w:rPr>
          <w:rFonts w:cstheme="minorHAnsi"/>
          <w:lang w:val="en-US"/>
        </w:rPr>
        <w:t xml:space="preserve"> </w:t>
      </w:r>
      <w:r w:rsidRPr="005F3251">
        <w:rPr>
          <w:rFonts w:cstheme="minorHAnsi"/>
          <w:lang w:val="en-US"/>
        </w:rPr>
        <w:t>Accountability in Latin America</w:t>
      </w:r>
      <w:r>
        <w:rPr>
          <w:rFonts w:cstheme="minorHAnsi"/>
          <w:lang w:val="en-US"/>
        </w:rPr>
        <w:t xml:space="preserve">”, </w:t>
      </w:r>
      <w:r w:rsidRPr="005F3251">
        <w:rPr>
          <w:rFonts w:cstheme="minorHAnsi"/>
          <w:i/>
          <w:lang w:val="en-US"/>
        </w:rPr>
        <w:t>The International Journal of Transitional Justice</w:t>
      </w:r>
      <w:r w:rsidRPr="005F3251">
        <w:rPr>
          <w:rFonts w:cstheme="minorHAnsi"/>
          <w:lang w:val="en-US"/>
        </w:rPr>
        <w:t>, Vol. 8, 2014, 75–98,</w:t>
      </w:r>
      <w:r>
        <w:rPr>
          <w:rFonts w:cstheme="minorHAnsi"/>
          <w:lang w:val="en-US"/>
        </w:rPr>
        <w:t xml:space="preserve"> </w:t>
      </w:r>
      <w:r w:rsidRPr="005F3251">
        <w:rPr>
          <w:rFonts w:cstheme="minorHAnsi"/>
          <w:lang w:val="en-US"/>
        </w:rPr>
        <w:t>doi:10.1093/</w:t>
      </w:r>
      <w:proofErr w:type="spellStart"/>
      <w:r w:rsidRPr="005F3251">
        <w:rPr>
          <w:rFonts w:cstheme="minorHAnsi"/>
          <w:lang w:val="en-US"/>
        </w:rPr>
        <w:t>ijtj</w:t>
      </w:r>
      <w:proofErr w:type="spellEnd"/>
      <w:r w:rsidRPr="005F3251">
        <w:rPr>
          <w:rFonts w:cstheme="minorHAnsi"/>
          <w:lang w:val="en-US"/>
        </w:rPr>
        <w:t>/ijt031</w:t>
      </w:r>
    </w:p>
    <w:p w:rsidR="008C77AC" w:rsidRDefault="008C77AC" w:rsidP="008C77AC">
      <w:pPr>
        <w:spacing w:after="120"/>
        <w:ind w:left="709" w:hanging="709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OLSEN</w:t>
      </w:r>
      <w:r w:rsidRPr="00A850A2">
        <w:rPr>
          <w:rFonts w:cstheme="minorHAnsi"/>
          <w:lang w:val="en-US"/>
        </w:rPr>
        <w:t xml:space="preserve">, Tricia D., </w:t>
      </w:r>
      <w:r>
        <w:rPr>
          <w:rFonts w:cstheme="minorHAnsi"/>
          <w:lang w:val="en-US"/>
        </w:rPr>
        <w:t>PAYNE</w:t>
      </w:r>
      <w:r w:rsidRPr="00A850A2">
        <w:rPr>
          <w:rFonts w:cstheme="minorHAnsi"/>
          <w:lang w:val="en-US"/>
        </w:rPr>
        <w:t xml:space="preserve">, Leigh A., </w:t>
      </w:r>
      <w:r>
        <w:rPr>
          <w:rFonts w:cstheme="minorHAnsi"/>
          <w:lang w:val="en-US"/>
        </w:rPr>
        <w:t>REITER</w:t>
      </w:r>
      <w:r w:rsidRPr="00A850A2">
        <w:rPr>
          <w:rFonts w:cstheme="minorHAnsi"/>
          <w:lang w:val="en-US"/>
        </w:rPr>
        <w:t xml:space="preserve">, Andrew G. (2010), </w:t>
      </w:r>
      <w:r w:rsidRPr="00A850A2">
        <w:rPr>
          <w:rFonts w:cstheme="minorHAnsi"/>
          <w:i/>
          <w:lang w:val="en-US"/>
        </w:rPr>
        <w:t>Transitional Justice in Balance. Comparing Processes, Weighing Efficacy</w:t>
      </w:r>
      <w:r w:rsidRPr="00A850A2">
        <w:rPr>
          <w:rFonts w:cstheme="minorHAnsi"/>
          <w:lang w:val="en-US"/>
        </w:rPr>
        <w:t>, Washington, DC: United States Institute of Peace Press.</w:t>
      </w:r>
    </w:p>
    <w:p w:rsidR="00187346" w:rsidRPr="0000474E" w:rsidRDefault="00187346" w:rsidP="00187346">
      <w:pPr>
        <w:spacing w:after="120" w:line="240" w:lineRule="auto"/>
        <w:ind w:left="454" w:hanging="454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bCs/>
          <w:lang w:eastAsia="es-AR"/>
        </w:rPr>
        <w:t>SIKKINK</w:t>
      </w:r>
      <w:r w:rsidRPr="0000474E">
        <w:rPr>
          <w:rFonts w:eastAsia="Times New Roman" w:cstheme="minorHAnsi"/>
          <w:lang w:eastAsia="es-AR"/>
        </w:rPr>
        <w:t xml:space="preserve">, K. (2013), </w:t>
      </w:r>
      <w:r w:rsidRPr="0000474E">
        <w:rPr>
          <w:rFonts w:eastAsia="Times New Roman" w:cstheme="minorHAnsi"/>
          <w:i/>
          <w:lang w:eastAsia="es-AR"/>
        </w:rPr>
        <w:t xml:space="preserve">La cascada de justicia, </w:t>
      </w:r>
      <w:r w:rsidRPr="0000474E">
        <w:rPr>
          <w:rFonts w:eastAsia="Times New Roman" w:cstheme="minorHAnsi"/>
          <w:lang w:eastAsia="es-AR"/>
        </w:rPr>
        <w:t xml:space="preserve">Gedisa, Barcelona. </w:t>
      </w:r>
    </w:p>
    <w:p w:rsidR="008C77AC" w:rsidRPr="00187346" w:rsidRDefault="008C77AC" w:rsidP="008C77AC">
      <w:pPr>
        <w:spacing w:after="120"/>
        <w:ind w:left="709" w:hanging="709"/>
        <w:jc w:val="both"/>
        <w:rPr>
          <w:rFonts w:cstheme="minorHAnsi"/>
        </w:rPr>
      </w:pPr>
    </w:p>
    <w:p w:rsidR="008C77AC" w:rsidRPr="005B6036" w:rsidRDefault="008C77AC" w:rsidP="008C77A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ind w:left="0"/>
        <w:jc w:val="both"/>
        <w:rPr>
          <w:rFonts w:cstheme="minorHAnsi"/>
          <w:b/>
          <w:sz w:val="24"/>
          <w:szCs w:val="24"/>
          <w:lang w:val="fr-FR"/>
        </w:rPr>
      </w:pPr>
      <w:r w:rsidRPr="00E33C1F">
        <w:rPr>
          <w:rFonts w:cstheme="minorHAnsi"/>
          <w:b/>
          <w:sz w:val="24"/>
          <w:szCs w:val="24"/>
          <w:lang w:val="fr-FR"/>
        </w:rPr>
        <w:t xml:space="preserve">Partie 2. </w:t>
      </w:r>
      <w:r w:rsidRPr="005B6036">
        <w:rPr>
          <w:rFonts w:cstheme="minorHAnsi"/>
          <w:b/>
          <w:sz w:val="24"/>
          <w:szCs w:val="24"/>
          <w:lang w:val="fr-FR"/>
        </w:rPr>
        <w:t xml:space="preserve">Justice </w:t>
      </w:r>
      <w:proofErr w:type="spellStart"/>
      <w:r w:rsidRPr="005B6036">
        <w:rPr>
          <w:rFonts w:cstheme="minorHAnsi"/>
          <w:b/>
          <w:sz w:val="24"/>
          <w:szCs w:val="24"/>
          <w:lang w:val="fr-FR"/>
        </w:rPr>
        <w:t>retributive</w:t>
      </w:r>
      <w:proofErr w:type="spellEnd"/>
      <w:r w:rsidRPr="005B6036">
        <w:rPr>
          <w:rFonts w:cstheme="minorHAnsi"/>
          <w:b/>
          <w:sz w:val="24"/>
          <w:szCs w:val="24"/>
          <w:lang w:val="fr-FR"/>
        </w:rPr>
        <w:t>: entre le droit et l’exception</w:t>
      </w:r>
    </w:p>
    <w:p w:rsidR="008C77AC" w:rsidRPr="00BC7FDF" w:rsidRDefault="008C77AC" w:rsidP="008C77AC">
      <w:pPr>
        <w:spacing w:after="120"/>
        <w:jc w:val="both"/>
        <w:rPr>
          <w:rFonts w:cstheme="minorHAnsi"/>
          <w:lang w:val="fr-FR"/>
        </w:rPr>
      </w:pPr>
    </w:p>
    <w:p w:rsidR="008C77AC" w:rsidRPr="00A14B6C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 w:hanging="709"/>
        <w:jc w:val="both"/>
        <w:rPr>
          <w:b/>
          <w:smallCaps/>
          <w:color w:val="323232"/>
          <w:sz w:val="24"/>
          <w:szCs w:val="24"/>
          <w:shd w:val="clear" w:color="auto" w:fill="FFFFFF"/>
        </w:rPr>
      </w:pPr>
      <w:proofErr w:type="spellStart"/>
      <w:r w:rsidRPr="00A14B6C">
        <w:rPr>
          <w:b/>
          <w:smallCaps/>
          <w:color w:val="323232"/>
          <w:sz w:val="24"/>
          <w:szCs w:val="24"/>
          <w:shd w:val="clear" w:color="auto" w:fill="FFFFFF"/>
        </w:rPr>
        <w:t>Séance</w:t>
      </w:r>
      <w:proofErr w:type="spellEnd"/>
      <w:r w:rsidRPr="00A14B6C">
        <w:rPr>
          <w:b/>
          <w:smallCaps/>
          <w:color w:val="323232"/>
          <w:sz w:val="24"/>
          <w:szCs w:val="24"/>
          <w:shd w:val="clear" w:color="auto" w:fill="FFFFFF"/>
        </w:rPr>
        <w:t xml:space="preserve"> 3</w:t>
      </w:r>
    </w:p>
    <w:p w:rsidR="008C77AC" w:rsidRPr="0055168B" w:rsidRDefault="008C77AC" w:rsidP="008C77AC">
      <w:pPr>
        <w:spacing w:after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proofErr w:type="spellStart"/>
      <w:r w:rsidRPr="0055168B">
        <w:rPr>
          <w:rFonts w:cstheme="minorHAnsi"/>
          <w:b/>
          <w:bCs/>
        </w:rPr>
        <w:t>Lecture</w:t>
      </w:r>
      <w:proofErr w:type="spellEnd"/>
      <w:r w:rsidRPr="0055168B">
        <w:rPr>
          <w:rFonts w:cstheme="minorHAnsi"/>
          <w:b/>
          <w:bCs/>
        </w:rPr>
        <w:t xml:space="preserve"> </w:t>
      </w:r>
      <w:proofErr w:type="spellStart"/>
      <w:r w:rsidRPr="0055168B">
        <w:rPr>
          <w:rFonts w:cstheme="minorHAnsi"/>
          <w:b/>
          <w:bCs/>
        </w:rPr>
        <w:t>obligatoire</w:t>
      </w:r>
      <w:proofErr w:type="spellEnd"/>
    </w:p>
    <w:p w:rsidR="008C77AC" w:rsidRPr="0055168B" w:rsidRDefault="008C77AC" w:rsidP="008C77AC">
      <w:pPr>
        <w:spacing w:after="120" w:line="240" w:lineRule="auto"/>
        <w:ind w:left="709" w:hanging="709"/>
        <w:jc w:val="both"/>
        <w:rPr>
          <w:rFonts w:cstheme="minorHAnsi"/>
        </w:rPr>
      </w:pPr>
      <w:r w:rsidRPr="0055168B">
        <w:rPr>
          <w:rFonts w:cstheme="minorHAnsi"/>
          <w:bCs/>
        </w:rPr>
        <w:t>NINO, Carlos S. (</w:t>
      </w:r>
      <w:r w:rsidRPr="0055168B">
        <w:rPr>
          <w:rFonts w:cstheme="minorHAnsi"/>
        </w:rPr>
        <w:t xml:space="preserve">1997), “2. La justicia retroactiva en la Argentina”, </w:t>
      </w:r>
      <w:r w:rsidRPr="0055168B">
        <w:rPr>
          <w:rFonts w:cstheme="minorHAnsi"/>
          <w:i/>
          <w:lang w:val="es-ES"/>
        </w:rPr>
        <w:t>Juicio al mal absoluto</w:t>
      </w:r>
      <w:r w:rsidRPr="0055168B">
        <w:rPr>
          <w:rFonts w:cstheme="minorHAnsi"/>
          <w:lang w:val="es-ES"/>
        </w:rPr>
        <w:t xml:space="preserve">. </w:t>
      </w:r>
      <w:r w:rsidRPr="0055168B">
        <w:rPr>
          <w:rFonts w:cstheme="minorHAnsi"/>
        </w:rPr>
        <w:t>Buenos Aires: Emecé [selección].</w:t>
      </w:r>
    </w:p>
    <w:p w:rsidR="008C77AC" w:rsidRPr="0055168B" w:rsidRDefault="008C77AC" w:rsidP="008C77AC">
      <w:pPr>
        <w:spacing w:after="120"/>
        <w:jc w:val="both"/>
        <w:rPr>
          <w:rFonts w:cstheme="minorHAnsi"/>
          <w:b/>
        </w:rPr>
      </w:pPr>
      <w:proofErr w:type="spellStart"/>
      <w:r w:rsidRPr="0055168B">
        <w:rPr>
          <w:rFonts w:cstheme="minorHAnsi"/>
          <w:b/>
        </w:rPr>
        <w:t>Lectures</w:t>
      </w:r>
      <w:proofErr w:type="spellEnd"/>
      <w:r w:rsidRPr="0055168B">
        <w:rPr>
          <w:rFonts w:cstheme="minorHAnsi"/>
          <w:b/>
        </w:rPr>
        <w:t xml:space="preserve"> </w:t>
      </w:r>
      <w:proofErr w:type="spellStart"/>
      <w:r w:rsidRPr="0055168B">
        <w:rPr>
          <w:rFonts w:cstheme="minorHAnsi"/>
          <w:b/>
        </w:rPr>
        <w:t>recommandées</w:t>
      </w:r>
      <w:proofErr w:type="spellEnd"/>
    </w:p>
    <w:p w:rsidR="008C77AC" w:rsidRPr="00BC7FDF" w:rsidRDefault="008C77AC" w:rsidP="008C77AC">
      <w:pPr>
        <w:spacing w:after="120" w:line="240" w:lineRule="auto"/>
        <w:ind w:left="709" w:hanging="709"/>
        <w:jc w:val="both"/>
        <w:rPr>
          <w:rFonts w:eastAsia="Times New Roman" w:cstheme="minorHAnsi"/>
          <w:lang w:eastAsia="es-AR"/>
        </w:rPr>
      </w:pPr>
      <w:r w:rsidRPr="00BC7FDF">
        <w:rPr>
          <w:rStyle w:val="uppercase"/>
          <w:rFonts w:cstheme="minorHAnsi"/>
          <w:color w:val="323232"/>
          <w:shd w:val="clear" w:color="auto" w:fill="FFFFFF"/>
          <w:lang w:val="fr-FR"/>
        </w:rPr>
        <w:t>CRENZEL, Emilio</w:t>
      </w:r>
      <w:r w:rsidRPr="00BC7FDF">
        <w:rPr>
          <w:rFonts w:eastAsia="Times New Roman" w:cstheme="minorHAnsi"/>
          <w:lang w:val="fr-FR" w:eastAsia="es-AR"/>
        </w:rPr>
        <w:t xml:space="preserve"> (2016). </w:t>
      </w:r>
      <w:r w:rsidRPr="0055168B">
        <w:rPr>
          <w:rFonts w:eastAsia="Times New Roman" w:cstheme="minorHAnsi"/>
          <w:i/>
          <w:iCs/>
          <w:lang w:val="fr-FR" w:eastAsia="es-AR"/>
        </w:rPr>
        <w:t xml:space="preserve">La mémoire des disparitions en Argentine: L’histoire politique du </w:t>
      </w:r>
      <w:proofErr w:type="spellStart"/>
      <w:r w:rsidRPr="0055168B">
        <w:rPr>
          <w:rFonts w:eastAsia="Times New Roman" w:cstheme="minorHAnsi"/>
          <w:i/>
          <w:iCs/>
          <w:lang w:val="fr-FR" w:eastAsia="es-AR"/>
        </w:rPr>
        <w:t>Nunca</w:t>
      </w:r>
      <w:proofErr w:type="spellEnd"/>
      <w:r w:rsidRPr="0055168B">
        <w:rPr>
          <w:rFonts w:eastAsia="Times New Roman" w:cstheme="minorHAnsi"/>
          <w:i/>
          <w:iCs/>
          <w:lang w:val="fr-FR" w:eastAsia="es-AR"/>
        </w:rPr>
        <w:t xml:space="preserve"> </w:t>
      </w:r>
      <w:proofErr w:type="spellStart"/>
      <w:r w:rsidRPr="0055168B">
        <w:rPr>
          <w:rFonts w:eastAsia="Times New Roman" w:cstheme="minorHAnsi"/>
          <w:i/>
          <w:iCs/>
          <w:lang w:val="fr-FR" w:eastAsia="es-AR"/>
        </w:rPr>
        <w:t>Más</w:t>
      </w:r>
      <w:proofErr w:type="spellEnd"/>
      <w:r w:rsidRPr="0055168B">
        <w:rPr>
          <w:rFonts w:eastAsia="Times New Roman" w:cstheme="minorHAnsi"/>
          <w:lang w:val="fr-FR" w:eastAsia="es-AR"/>
        </w:rPr>
        <w:t xml:space="preserve">. </w:t>
      </w:r>
      <w:proofErr w:type="spellStart"/>
      <w:r w:rsidRPr="00BC7FDF">
        <w:rPr>
          <w:rFonts w:eastAsia="Times New Roman" w:cstheme="minorHAnsi"/>
          <w:lang w:eastAsia="es-AR"/>
        </w:rPr>
        <w:t>Editions</w:t>
      </w:r>
      <w:proofErr w:type="spellEnd"/>
      <w:r w:rsidRPr="00BC7FDF">
        <w:rPr>
          <w:rFonts w:eastAsia="Times New Roman" w:cstheme="minorHAnsi"/>
          <w:lang w:eastAsia="es-AR"/>
        </w:rPr>
        <w:t xml:space="preserve"> </w:t>
      </w:r>
      <w:proofErr w:type="spellStart"/>
      <w:r w:rsidRPr="00BC7FDF">
        <w:rPr>
          <w:rFonts w:eastAsia="Times New Roman" w:cstheme="minorHAnsi"/>
          <w:lang w:eastAsia="es-AR"/>
        </w:rPr>
        <w:t>L’Harmattan</w:t>
      </w:r>
      <w:proofErr w:type="spellEnd"/>
      <w:r w:rsidRPr="00BC7FDF">
        <w:rPr>
          <w:rFonts w:eastAsia="Times New Roman" w:cstheme="minorHAnsi"/>
          <w:lang w:eastAsia="es-AR"/>
        </w:rPr>
        <w:t>.</w:t>
      </w:r>
    </w:p>
    <w:p w:rsidR="0055168B" w:rsidRPr="0055168B" w:rsidRDefault="0055168B" w:rsidP="0055168B">
      <w:pPr>
        <w:spacing w:after="120" w:line="240" w:lineRule="auto"/>
        <w:ind w:left="709" w:hanging="709"/>
        <w:jc w:val="both"/>
        <w:rPr>
          <w:rFonts w:cstheme="minorHAnsi"/>
        </w:rPr>
      </w:pPr>
      <w:r w:rsidRPr="0055168B">
        <w:rPr>
          <w:rFonts w:cstheme="minorHAnsi"/>
          <w:caps/>
        </w:rPr>
        <w:t>Crenzel</w:t>
      </w:r>
      <w:r w:rsidRPr="0055168B">
        <w:rPr>
          <w:rFonts w:cstheme="minorHAnsi"/>
        </w:rPr>
        <w:t xml:space="preserve">, Emilio (2014), “La CONADEP treinta años después”, </w:t>
      </w:r>
      <w:r w:rsidRPr="0055168B">
        <w:rPr>
          <w:rFonts w:cstheme="minorHAnsi"/>
          <w:i/>
        </w:rPr>
        <w:t>Revista Derechos Humanos</w:t>
      </w:r>
      <w:r w:rsidRPr="0055168B">
        <w:rPr>
          <w:rFonts w:cstheme="minorHAnsi"/>
        </w:rPr>
        <w:t xml:space="preserve">, Año II, N° 4, pp. 3-25. </w:t>
      </w:r>
      <w:hyperlink r:id="rId10" w:history="1">
        <w:r w:rsidRPr="0055168B">
          <w:rPr>
            <w:rStyle w:val="Lienhypertexte"/>
            <w:rFonts w:cstheme="minorHAnsi"/>
          </w:rPr>
          <w:t>http://www.saij.gob.ar/doctrina/dacf140093-crenzel-conadep_treinta_anos_despues.htm</w:t>
        </w:r>
      </w:hyperlink>
    </w:p>
    <w:p w:rsidR="00297912" w:rsidRDefault="008C77AC" w:rsidP="00297912">
      <w:pPr>
        <w:spacing w:after="120" w:line="240" w:lineRule="auto"/>
        <w:ind w:left="709" w:hanging="709"/>
        <w:jc w:val="both"/>
        <w:rPr>
          <w:rFonts w:cstheme="minorHAnsi"/>
          <w:bCs/>
          <w:lang w:val="en-US"/>
        </w:rPr>
      </w:pPr>
      <w:r w:rsidRPr="00BC7FDF">
        <w:rPr>
          <w:rFonts w:cstheme="minorHAnsi"/>
          <w:bCs/>
          <w:caps/>
        </w:rPr>
        <w:t>Malamud Goti</w:t>
      </w:r>
      <w:r w:rsidRPr="00BC7FDF">
        <w:rPr>
          <w:rFonts w:cstheme="minorHAnsi"/>
          <w:bCs/>
        </w:rPr>
        <w:t xml:space="preserve">, Jaime. 2016. </w:t>
      </w:r>
      <w:r w:rsidRPr="00BC7FDF">
        <w:rPr>
          <w:rFonts w:cstheme="minorHAnsi"/>
          <w:bCs/>
          <w:i/>
        </w:rPr>
        <w:t xml:space="preserve">Crímenes de Estado. </w:t>
      </w:r>
      <w:proofErr w:type="spellStart"/>
      <w:r w:rsidRPr="0055168B">
        <w:rPr>
          <w:rFonts w:cstheme="minorHAnsi"/>
          <w:bCs/>
          <w:i/>
          <w:lang w:val="en-US"/>
        </w:rPr>
        <w:t>Dilemas</w:t>
      </w:r>
      <w:proofErr w:type="spellEnd"/>
      <w:r w:rsidRPr="0055168B">
        <w:rPr>
          <w:rFonts w:cstheme="minorHAnsi"/>
          <w:bCs/>
          <w:i/>
          <w:lang w:val="en-US"/>
        </w:rPr>
        <w:t xml:space="preserve"> de la Justicia.</w:t>
      </w:r>
      <w:r w:rsidRPr="0055168B">
        <w:rPr>
          <w:rFonts w:cstheme="minorHAnsi"/>
          <w:bCs/>
          <w:lang w:val="en-US"/>
        </w:rPr>
        <w:t xml:space="preserve"> Buenos Aires: Hammurabi [</w:t>
      </w:r>
      <w:proofErr w:type="spellStart"/>
      <w:r w:rsidRPr="0055168B">
        <w:rPr>
          <w:rFonts w:cstheme="minorHAnsi"/>
          <w:bCs/>
          <w:lang w:val="en-US"/>
        </w:rPr>
        <w:t>sélection</w:t>
      </w:r>
      <w:proofErr w:type="spellEnd"/>
      <w:r w:rsidRPr="0055168B">
        <w:rPr>
          <w:rFonts w:cstheme="minorHAnsi"/>
          <w:bCs/>
          <w:lang w:val="en-US"/>
        </w:rPr>
        <w:t>].</w:t>
      </w:r>
    </w:p>
    <w:p w:rsidR="008C77AC" w:rsidRPr="0055168B" w:rsidRDefault="008C77AC" w:rsidP="00297912">
      <w:pPr>
        <w:spacing w:after="120" w:line="240" w:lineRule="auto"/>
        <w:ind w:left="709" w:hanging="709"/>
        <w:jc w:val="both"/>
        <w:rPr>
          <w:lang w:val="en-US" w:eastAsia="es-AR"/>
        </w:rPr>
      </w:pPr>
      <w:r w:rsidRPr="0055168B">
        <w:rPr>
          <w:lang w:val="en-US" w:eastAsia="es-AR"/>
        </w:rPr>
        <w:t xml:space="preserve">NINO, C. S. (1991). </w:t>
      </w:r>
      <w:r w:rsidR="00297912">
        <w:rPr>
          <w:lang w:val="en-US" w:eastAsia="es-AR"/>
        </w:rPr>
        <w:t>“</w:t>
      </w:r>
      <w:r w:rsidRPr="0055168B">
        <w:rPr>
          <w:lang w:val="en-US" w:eastAsia="es-AR"/>
        </w:rPr>
        <w:t>The Duty to Punish Past Abuses of Human Rights Put into</w:t>
      </w:r>
      <w:r w:rsidR="00297912">
        <w:rPr>
          <w:lang w:val="en-US" w:eastAsia="es-AR"/>
        </w:rPr>
        <w:t xml:space="preserve"> Context: The Case of Argentina”,</w:t>
      </w:r>
      <w:r w:rsidRPr="0055168B">
        <w:rPr>
          <w:lang w:val="en-US" w:eastAsia="es-AR"/>
        </w:rPr>
        <w:t xml:space="preserve"> </w:t>
      </w:r>
      <w:r w:rsidRPr="0055168B">
        <w:rPr>
          <w:i/>
          <w:iCs/>
          <w:lang w:val="en-US" w:eastAsia="es-AR"/>
        </w:rPr>
        <w:t>The Yale Law Journal</w:t>
      </w:r>
      <w:r w:rsidRPr="0055168B">
        <w:rPr>
          <w:lang w:val="en-US" w:eastAsia="es-AR"/>
        </w:rPr>
        <w:t xml:space="preserve">, </w:t>
      </w:r>
      <w:r w:rsidRPr="0055168B">
        <w:rPr>
          <w:i/>
          <w:iCs/>
          <w:lang w:val="en-US" w:eastAsia="es-AR"/>
        </w:rPr>
        <w:t>100</w:t>
      </w:r>
      <w:r w:rsidRPr="0055168B">
        <w:rPr>
          <w:lang w:val="en-US" w:eastAsia="es-AR"/>
        </w:rPr>
        <w:t>(8), 2619–2640.</w:t>
      </w:r>
      <w:r w:rsidR="00297912">
        <w:rPr>
          <w:lang w:val="en-US" w:eastAsia="es-AR"/>
        </w:rPr>
        <w:t xml:space="preserve">   </w:t>
      </w:r>
      <w:hyperlink r:id="rId11" w:history="1">
        <w:r w:rsidRPr="0055168B">
          <w:rPr>
            <w:rStyle w:val="Lienhypertexte"/>
            <w:rFonts w:eastAsia="Times New Roman" w:cstheme="minorHAnsi"/>
            <w:lang w:val="en-US" w:eastAsia="es-AR"/>
          </w:rPr>
          <w:t>https://doi.org/10.2307/796904</w:t>
        </w:r>
      </w:hyperlink>
      <w:r w:rsidRPr="0055168B">
        <w:rPr>
          <w:lang w:val="en-US" w:eastAsia="es-AR"/>
        </w:rPr>
        <w:t xml:space="preserve"> </w:t>
      </w:r>
    </w:p>
    <w:p w:rsidR="008C77AC" w:rsidRPr="0055168B" w:rsidRDefault="008C77AC" w:rsidP="008C77AC">
      <w:pPr>
        <w:ind w:left="709" w:hanging="709"/>
        <w:jc w:val="both"/>
        <w:rPr>
          <w:rFonts w:cstheme="minorHAnsi"/>
          <w:lang w:val="en-US"/>
        </w:rPr>
      </w:pPr>
      <w:r w:rsidRPr="0055168B">
        <w:rPr>
          <w:rFonts w:cstheme="minorHAnsi"/>
          <w:caps/>
          <w:lang w:val="en-US"/>
        </w:rPr>
        <w:t>Orentlicher,</w:t>
      </w:r>
      <w:r w:rsidRPr="0055168B">
        <w:rPr>
          <w:rFonts w:cstheme="minorHAnsi"/>
          <w:lang w:val="en-US"/>
        </w:rPr>
        <w:t xml:space="preserve"> Diane F. 1991. “Settling Accounts: The Duty to Prosecute Human Rights Violations of a Prior Regime”, </w:t>
      </w:r>
      <w:r w:rsidRPr="0055168B">
        <w:rPr>
          <w:rFonts w:cstheme="minorHAnsi"/>
          <w:i/>
          <w:lang w:val="en-US"/>
        </w:rPr>
        <w:t>The Yale Law Journal</w:t>
      </w:r>
      <w:r w:rsidRPr="0055168B">
        <w:rPr>
          <w:rFonts w:cstheme="minorHAnsi"/>
          <w:lang w:val="en-US"/>
        </w:rPr>
        <w:t>, Vol. 100, No. 8, Symposium: International Law (Jun., 1991), pp. 2537-2615.</w:t>
      </w:r>
    </w:p>
    <w:p w:rsidR="008C77AC" w:rsidRPr="0055168B" w:rsidRDefault="008C77AC" w:rsidP="008C77AC">
      <w:pPr>
        <w:spacing w:after="120"/>
        <w:jc w:val="both"/>
        <w:rPr>
          <w:rFonts w:cstheme="minorHAnsi"/>
          <w:b/>
        </w:rPr>
      </w:pPr>
      <w:proofErr w:type="spellStart"/>
      <w:r w:rsidRPr="0055168B">
        <w:rPr>
          <w:rFonts w:cstheme="minorHAnsi"/>
          <w:b/>
        </w:rPr>
        <w:t>Document</w:t>
      </w:r>
      <w:proofErr w:type="spellEnd"/>
      <w:r w:rsidRPr="0055168B">
        <w:rPr>
          <w:rFonts w:cstheme="minorHAnsi"/>
          <w:b/>
        </w:rPr>
        <w:t>:</w:t>
      </w:r>
    </w:p>
    <w:p w:rsidR="008C77AC" w:rsidRPr="0055168B" w:rsidRDefault="008C77AC" w:rsidP="008C77AC">
      <w:pPr>
        <w:pStyle w:val="Paragraphedeliste"/>
        <w:spacing w:after="120" w:line="240" w:lineRule="auto"/>
        <w:ind w:left="709" w:hanging="709"/>
        <w:jc w:val="both"/>
        <w:rPr>
          <w:rFonts w:cstheme="minorHAnsi"/>
          <w:lang w:val="es-ES"/>
        </w:rPr>
      </w:pPr>
      <w:r w:rsidRPr="0055168B">
        <w:rPr>
          <w:rFonts w:cstheme="minorHAnsi"/>
          <w:i/>
          <w:lang w:val="es-ES"/>
        </w:rPr>
        <w:t>Diario del Juicio</w:t>
      </w:r>
      <w:r w:rsidRPr="0055168B">
        <w:rPr>
          <w:rFonts w:cstheme="minorHAnsi"/>
          <w:lang w:val="es-ES"/>
        </w:rPr>
        <w:t>. Editorial Perfil. Buenos Aires. 1985.[Selección de fragmentos]</w:t>
      </w:r>
    </w:p>
    <w:p w:rsidR="008C77AC" w:rsidRPr="00AA20A2" w:rsidRDefault="008C77AC" w:rsidP="008C77AC">
      <w:pPr>
        <w:spacing w:after="120"/>
        <w:jc w:val="both"/>
        <w:rPr>
          <w:rFonts w:cstheme="minorHAnsi"/>
          <w:lang w:val="es-ES"/>
        </w:rPr>
      </w:pPr>
    </w:p>
    <w:p w:rsidR="008C77AC" w:rsidRPr="00576BAF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  <w:b/>
          <w:smallCaps/>
          <w:sz w:val="24"/>
          <w:szCs w:val="24"/>
        </w:rPr>
      </w:pPr>
      <w:proofErr w:type="spellStart"/>
      <w:r w:rsidRPr="00576BAF">
        <w:rPr>
          <w:rFonts w:cstheme="minorHAnsi"/>
          <w:b/>
          <w:smallCaps/>
          <w:sz w:val="24"/>
          <w:szCs w:val="24"/>
        </w:rPr>
        <w:t>Séance</w:t>
      </w:r>
      <w:proofErr w:type="spellEnd"/>
      <w:r w:rsidRPr="00576BAF">
        <w:rPr>
          <w:rFonts w:cstheme="minorHAnsi"/>
          <w:b/>
          <w:smallCaps/>
          <w:sz w:val="24"/>
          <w:szCs w:val="24"/>
        </w:rPr>
        <w:t xml:space="preserve"> 4</w:t>
      </w:r>
    </w:p>
    <w:p w:rsidR="008C77AC" w:rsidRPr="00D173A6" w:rsidRDefault="008C77AC" w:rsidP="008C77AC">
      <w:pPr>
        <w:spacing w:after="120"/>
        <w:ind w:left="709" w:hanging="709"/>
        <w:jc w:val="both"/>
        <w:rPr>
          <w:rFonts w:cstheme="minorHAnsi"/>
          <w:b/>
          <w:bCs/>
        </w:rPr>
      </w:pPr>
      <w:proofErr w:type="spellStart"/>
      <w:r w:rsidRPr="00D173A6">
        <w:rPr>
          <w:rFonts w:cstheme="minorHAnsi"/>
          <w:b/>
          <w:bCs/>
        </w:rPr>
        <w:t>Lecture</w:t>
      </w:r>
      <w:proofErr w:type="spellEnd"/>
      <w:r w:rsidRPr="00D173A6">
        <w:rPr>
          <w:rFonts w:cstheme="minorHAnsi"/>
          <w:b/>
          <w:bCs/>
        </w:rPr>
        <w:t xml:space="preserve"> </w:t>
      </w:r>
      <w:proofErr w:type="spellStart"/>
      <w:r w:rsidRPr="00D173A6">
        <w:rPr>
          <w:rFonts w:cstheme="minorHAnsi"/>
          <w:b/>
          <w:bCs/>
        </w:rPr>
        <w:t>obligatoire</w:t>
      </w:r>
      <w:proofErr w:type="spellEnd"/>
    </w:p>
    <w:p w:rsidR="00BC7FDF" w:rsidRPr="00A347C8" w:rsidRDefault="00BC7FDF" w:rsidP="00BC7FDF">
      <w:pPr>
        <w:spacing w:after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lang w:val="en-US"/>
        </w:rPr>
        <w:t>ENGSTROM</w:t>
      </w:r>
      <w:r w:rsidRPr="002A1867">
        <w:rPr>
          <w:rFonts w:cstheme="minorHAnsi"/>
          <w:lang w:val="en-US"/>
        </w:rPr>
        <w:t>, Par and Gabriel P</w:t>
      </w:r>
      <w:r>
        <w:rPr>
          <w:rFonts w:cstheme="minorHAnsi"/>
          <w:lang w:val="en-US"/>
        </w:rPr>
        <w:t>EREIRA</w:t>
      </w:r>
      <w:r w:rsidRPr="002A1867">
        <w:rPr>
          <w:rFonts w:cstheme="minorHAnsi"/>
          <w:lang w:val="en-US"/>
        </w:rPr>
        <w:t xml:space="preserve">: “From Amnesty to Accountability. The Ebb and Flow of the Search for Justice in Argentina” </w:t>
      </w:r>
      <w:proofErr w:type="spellStart"/>
      <w:r w:rsidRPr="002A1867">
        <w:rPr>
          <w:rFonts w:cstheme="minorHAnsi"/>
          <w:lang w:val="en-US"/>
        </w:rPr>
        <w:t>en</w:t>
      </w:r>
      <w:proofErr w:type="spellEnd"/>
      <w:r w:rsidRPr="002A1867">
        <w:rPr>
          <w:rFonts w:cstheme="minorHAnsi"/>
          <w:lang w:val="en-US"/>
        </w:rPr>
        <w:t xml:space="preserve"> </w:t>
      </w:r>
      <w:proofErr w:type="spellStart"/>
      <w:r w:rsidRPr="002A1867">
        <w:rPr>
          <w:rFonts w:cstheme="minorHAnsi"/>
          <w:lang w:val="en-US"/>
        </w:rPr>
        <w:t>Lessa</w:t>
      </w:r>
      <w:proofErr w:type="spellEnd"/>
      <w:r w:rsidRPr="002A1867">
        <w:rPr>
          <w:rFonts w:cstheme="minorHAnsi"/>
          <w:lang w:val="en-US"/>
        </w:rPr>
        <w:t xml:space="preserve">, F. and L. A. Payne (ed) (2012): </w:t>
      </w:r>
      <w:r w:rsidRPr="002A1867">
        <w:rPr>
          <w:rFonts w:cstheme="minorHAnsi"/>
          <w:i/>
          <w:lang w:val="en-US"/>
        </w:rPr>
        <w:t xml:space="preserve">Amnesty in the Age of Human Rights Accountability. </w:t>
      </w:r>
      <w:r w:rsidRPr="00A347C8">
        <w:rPr>
          <w:rFonts w:cstheme="minorHAnsi"/>
          <w:i/>
        </w:rPr>
        <w:t xml:space="preserve">Comparative and International </w:t>
      </w:r>
      <w:proofErr w:type="spellStart"/>
      <w:r w:rsidRPr="00A347C8">
        <w:rPr>
          <w:rFonts w:cstheme="minorHAnsi"/>
          <w:i/>
        </w:rPr>
        <w:t>Perspectives</w:t>
      </w:r>
      <w:proofErr w:type="spellEnd"/>
      <w:r w:rsidRPr="00A347C8">
        <w:rPr>
          <w:rFonts w:cstheme="minorHAnsi"/>
        </w:rPr>
        <w:t xml:space="preserve">, Cambridge </w:t>
      </w:r>
      <w:proofErr w:type="spellStart"/>
      <w:r w:rsidRPr="00A347C8">
        <w:rPr>
          <w:rFonts w:cstheme="minorHAnsi"/>
        </w:rPr>
        <w:t>University</w:t>
      </w:r>
      <w:proofErr w:type="spellEnd"/>
      <w:r w:rsidRPr="00A347C8">
        <w:rPr>
          <w:rFonts w:cstheme="minorHAnsi"/>
        </w:rPr>
        <w:t xml:space="preserve"> </w:t>
      </w:r>
      <w:proofErr w:type="spellStart"/>
      <w:r w:rsidRPr="00A347C8">
        <w:rPr>
          <w:rFonts w:cstheme="minorHAnsi"/>
        </w:rPr>
        <w:t>Press</w:t>
      </w:r>
      <w:proofErr w:type="spellEnd"/>
      <w:r w:rsidRPr="00A347C8">
        <w:rPr>
          <w:rFonts w:cstheme="minorHAnsi"/>
        </w:rPr>
        <w:t>, New York.</w:t>
      </w:r>
    </w:p>
    <w:p w:rsidR="00BC7FDF" w:rsidRPr="00BC7FDF" w:rsidRDefault="00BC7FDF" w:rsidP="008C77AC">
      <w:pPr>
        <w:spacing w:after="120"/>
        <w:ind w:left="709" w:hanging="709"/>
        <w:jc w:val="both"/>
        <w:rPr>
          <w:rFonts w:cstheme="minorHAnsi"/>
          <w:b/>
          <w:color w:val="231F20"/>
          <w:lang w:val="es-ES"/>
        </w:rPr>
      </w:pPr>
      <w:proofErr w:type="spellStart"/>
      <w:r w:rsidRPr="00BC7FDF">
        <w:rPr>
          <w:rFonts w:cstheme="minorHAnsi"/>
          <w:b/>
          <w:color w:val="231F20"/>
          <w:lang w:val="es-ES"/>
        </w:rPr>
        <w:t>Lecture</w:t>
      </w:r>
      <w:proofErr w:type="spellEnd"/>
      <w:r w:rsidRPr="00BC7FDF">
        <w:rPr>
          <w:rFonts w:cstheme="minorHAnsi"/>
          <w:b/>
          <w:color w:val="231F20"/>
          <w:lang w:val="es-ES"/>
        </w:rPr>
        <w:t xml:space="preserve"> </w:t>
      </w:r>
      <w:proofErr w:type="spellStart"/>
      <w:r w:rsidRPr="00BC7FDF">
        <w:rPr>
          <w:rFonts w:cstheme="minorHAnsi"/>
          <w:b/>
          <w:color w:val="231F20"/>
          <w:lang w:val="es-ES"/>
        </w:rPr>
        <w:t>pour</w:t>
      </w:r>
      <w:proofErr w:type="spellEnd"/>
      <w:r w:rsidRPr="00BC7FDF">
        <w:rPr>
          <w:rFonts w:cstheme="minorHAnsi"/>
          <w:b/>
          <w:color w:val="231F20"/>
          <w:lang w:val="es-ES"/>
        </w:rPr>
        <w:t xml:space="preserve"> le </w:t>
      </w:r>
      <w:proofErr w:type="spellStart"/>
      <w:r w:rsidRPr="00BC7FDF">
        <w:rPr>
          <w:rFonts w:cstheme="minorHAnsi"/>
          <w:b/>
          <w:color w:val="231F20"/>
          <w:lang w:val="es-ES"/>
        </w:rPr>
        <w:t>débat</w:t>
      </w:r>
      <w:proofErr w:type="spellEnd"/>
    </w:p>
    <w:p w:rsidR="008C77AC" w:rsidRPr="00E33C1F" w:rsidRDefault="008C77AC" w:rsidP="008C77AC">
      <w:pPr>
        <w:spacing w:after="120"/>
        <w:ind w:left="709" w:hanging="709"/>
        <w:jc w:val="both"/>
        <w:rPr>
          <w:rFonts w:cstheme="minorHAnsi"/>
          <w:b/>
          <w:bCs/>
          <w:color w:val="231F20"/>
        </w:rPr>
      </w:pPr>
      <w:r w:rsidRPr="004D5514">
        <w:rPr>
          <w:rFonts w:cstheme="minorHAnsi"/>
          <w:caps/>
          <w:color w:val="231F20"/>
          <w:lang w:val="es-ES"/>
        </w:rPr>
        <w:t>Fernández Valle</w:t>
      </w:r>
      <w:r w:rsidRPr="0000474E">
        <w:rPr>
          <w:rFonts w:cstheme="minorHAnsi"/>
          <w:color w:val="231F20"/>
          <w:lang w:val="es-ES"/>
        </w:rPr>
        <w:t>,</w:t>
      </w:r>
      <w:r w:rsidRPr="0000474E">
        <w:rPr>
          <w:rFonts w:cstheme="minorHAnsi"/>
          <w:bCs/>
          <w:color w:val="231F20"/>
          <w:lang w:val="es-ES"/>
        </w:rPr>
        <w:t xml:space="preserve"> </w:t>
      </w:r>
      <w:r w:rsidRPr="0000474E">
        <w:rPr>
          <w:rFonts w:cstheme="minorHAnsi"/>
          <w:color w:val="231F20"/>
          <w:lang w:val="es-ES"/>
        </w:rPr>
        <w:t xml:space="preserve">Mariano (2006) </w:t>
      </w:r>
      <w:r w:rsidRPr="0000474E">
        <w:rPr>
          <w:rFonts w:cstheme="minorHAnsi"/>
          <w:bCs/>
          <w:color w:val="231F20"/>
          <w:lang w:val="es-ES"/>
        </w:rPr>
        <w:t xml:space="preserve">“La Corte Suprema Argentina frente al Legado de la Última Dictadura Militar: Reseña del Fallo “Simón””, en Anuario de Derechos Humanos, 2006, </w:t>
      </w:r>
      <w:r w:rsidRPr="0000474E">
        <w:rPr>
          <w:rFonts w:cstheme="minorHAnsi"/>
          <w:bCs/>
          <w:color w:val="231F20"/>
          <w:lang w:val="es-ES"/>
        </w:rPr>
        <w:lastRenderedPageBreak/>
        <w:t xml:space="preserve">pp. 165-174. </w:t>
      </w:r>
      <w:r w:rsidRPr="00E33C1F">
        <w:rPr>
          <w:rFonts w:cstheme="minorHAnsi"/>
          <w:bCs/>
          <w:color w:val="231F20"/>
        </w:rPr>
        <w:t xml:space="preserve">(disponible en </w:t>
      </w:r>
      <w:hyperlink r:id="rId12" w:history="1">
        <w:r w:rsidRPr="00E33C1F">
          <w:rPr>
            <w:rStyle w:val="Lienhypertexte"/>
            <w:rFonts w:cstheme="minorHAnsi"/>
          </w:rPr>
          <w:t>http://www.anuariocdh.uchile.cl/index.php/ADH/article/viewFile/19423/20559</w:t>
        </w:r>
      </w:hyperlink>
      <w:r w:rsidRPr="00E33C1F">
        <w:rPr>
          <w:rFonts w:cstheme="minorHAnsi"/>
          <w:b/>
          <w:bCs/>
          <w:color w:val="231F20"/>
        </w:rPr>
        <w:t>)</w:t>
      </w:r>
    </w:p>
    <w:p w:rsidR="008C77AC" w:rsidRPr="00D173A6" w:rsidRDefault="008C77AC" w:rsidP="008C77AC">
      <w:pPr>
        <w:spacing w:after="120" w:line="240" w:lineRule="auto"/>
        <w:ind w:left="709" w:hanging="709"/>
        <w:jc w:val="both"/>
        <w:rPr>
          <w:b/>
          <w:lang w:val="fr-FR"/>
        </w:rPr>
      </w:pPr>
      <w:r w:rsidRPr="00D173A6">
        <w:rPr>
          <w:b/>
          <w:lang w:val="fr-FR"/>
        </w:rPr>
        <w:t>Lectures</w:t>
      </w:r>
      <w:r w:rsidR="00BC7FDF">
        <w:rPr>
          <w:b/>
          <w:lang w:val="fr-FR"/>
        </w:rPr>
        <w:t xml:space="preserve"> recommandées</w:t>
      </w:r>
    </w:p>
    <w:p w:rsidR="008C77AC" w:rsidRPr="00BC7FDF" w:rsidRDefault="008C77AC" w:rsidP="008C77AC">
      <w:pPr>
        <w:spacing w:after="120" w:line="240" w:lineRule="auto"/>
        <w:ind w:left="709" w:hanging="709"/>
        <w:jc w:val="both"/>
        <w:rPr>
          <w:lang w:val="en-US"/>
        </w:rPr>
      </w:pPr>
      <w:r w:rsidRPr="00D173A6">
        <w:rPr>
          <w:rStyle w:val="uppercase"/>
          <w:color w:val="323232"/>
          <w:shd w:val="clear" w:color="auto" w:fill="FFFFFF"/>
          <w:lang w:val="fr-FR"/>
        </w:rPr>
        <w:t>ANDREU-GUZMAN</w:t>
      </w:r>
      <w:r w:rsidRPr="00D173A6">
        <w:rPr>
          <w:color w:val="323232"/>
          <w:shd w:val="clear" w:color="auto" w:fill="FFFFFF"/>
          <w:lang w:val="fr-FR"/>
        </w:rPr>
        <w:t>, F. (2008). Impunité et d</w:t>
      </w:r>
      <w:r w:rsidRPr="000E589E">
        <w:rPr>
          <w:color w:val="323232"/>
          <w:shd w:val="clear" w:color="auto" w:fill="FFFFFF"/>
          <w:lang w:val="fr-FR"/>
        </w:rPr>
        <w:t>roit international: Quelques réflexions historico-juridiques sur la lutte contre l'impunité. </w:t>
      </w:r>
      <w:proofErr w:type="spellStart"/>
      <w:r w:rsidRPr="00BC7FDF">
        <w:rPr>
          <w:i/>
          <w:iCs/>
          <w:color w:val="323232"/>
          <w:shd w:val="clear" w:color="auto" w:fill="FFFFFF"/>
          <w:lang w:val="en-US"/>
        </w:rPr>
        <w:t>Mouvements</w:t>
      </w:r>
      <w:proofErr w:type="spellEnd"/>
      <w:r w:rsidRPr="00BC7FDF">
        <w:rPr>
          <w:color w:val="323232"/>
          <w:shd w:val="clear" w:color="auto" w:fill="FFFFFF"/>
          <w:lang w:val="en-US"/>
        </w:rPr>
        <w:t>, 53, 54-60. </w:t>
      </w:r>
      <w:hyperlink r:id="rId13" w:history="1">
        <w:r w:rsidRPr="00BC7FDF">
          <w:rPr>
            <w:rStyle w:val="Lienhypertexte"/>
            <w:shd w:val="clear" w:color="auto" w:fill="FFFFFF"/>
            <w:lang w:val="en-US"/>
          </w:rPr>
          <w:t>https://doi.org/10.3917/mouv.053.0054</w:t>
        </w:r>
      </w:hyperlink>
    </w:p>
    <w:p w:rsidR="006519E6" w:rsidRPr="006519E6" w:rsidRDefault="006519E6" w:rsidP="006519E6">
      <w:pPr>
        <w:spacing w:after="0" w:line="240" w:lineRule="auto"/>
        <w:ind w:left="709" w:hanging="709"/>
        <w:rPr>
          <w:lang w:val="en-US"/>
        </w:rPr>
      </w:pPr>
      <w:r w:rsidRPr="006519E6">
        <w:rPr>
          <w:lang w:val="en-US"/>
        </w:rPr>
        <w:t xml:space="preserve">BALARDINI. Lorena (2016), </w:t>
      </w:r>
      <w:r>
        <w:rPr>
          <w:lang w:val="en-US"/>
        </w:rPr>
        <w:t>“</w:t>
      </w:r>
      <w:r w:rsidRPr="006519E6">
        <w:rPr>
          <w:lang w:val="en-US"/>
        </w:rPr>
        <w:t>Notes from the Field: Monitoring Human Rights</w:t>
      </w:r>
      <w:r>
        <w:rPr>
          <w:lang w:val="en-US"/>
        </w:rPr>
        <w:t xml:space="preserve"> </w:t>
      </w:r>
      <w:r w:rsidRPr="006519E6">
        <w:rPr>
          <w:lang w:val="en-US"/>
        </w:rPr>
        <w:t>Trials: Information Strategies Developed in</w:t>
      </w:r>
      <w:r>
        <w:rPr>
          <w:lang w:val="en-US"/>
        </w:rPr>
        <w:t xml:space="preserve"> </w:t>
      </w:r>
      <w:r w:rsidRPr="006519E6">
        <w:rPr>
          <w:lang w:val="en-US"/>
        </w:rPr>
        <w:t>Argentina’s Transitional Justice Process”</w:t>
      </w:r>
      <w:r>
        <w:rPr>
          <w:lang w:val="en-US"/>
        </w:rPr>
        <w:t xml:space="preserve">, </w:t>
      </w:r>
      <w:r>
        <w:rPr>
          <w:i/>
          <w:lang w:val="en-US"/>
        </w:rPr>
        <w:t>Transitional Justice Review</w:t>
      </w:r>
      <w:r>
        <w:rPr>
          <w:lang w:val="en-US"/>
        </w:rPr>
        <w:t>, Vol 1, Issue 4, March 2016, 233-261.</w:t>
      </w:r>
    </w:p>
    <w:p w:rsidR="008C77AC" w:rsidRDefault="008C77AC" w:rsidP="008C77AC">
      <w:pPr>
        <w:spacing w:after="0" w:line="240" w:lineRule="auto"/>
        <w:ind w:left="709" w:hanging="709"/>
        <w:rPr>
          <w:lang w:val="en-US"/>
        </w:rPr>
      </w:pPr>
      <w:r>
        <w:t>BEADE,</w:t>
      </w:r>
      <w:r w:rsidRPr="00AA20A2">
        <w:t xml:space="preserve"> </w:t>
      </w:r>
      <w:r w:rsidRPr="00DE79F8">
        <w:t>Gustavo</w:t>
      </w:r>
      <w:r>
        <w:t xml:space="preserve"> A.</w:t>
      </w:r>
      <w:r w:rsidRPr="00DE79F8">
        <w:t xml:space="preserve"> (2017). Una sentencia bien intencionada? A propósito del caso “</w:t>
      </w:r>
      <w:proofErr w:type="spellStart"/>
      <w:r w:rsidRPr="00DE79F8">
        <w:t>Muiña</w:t>
      </w:r>
      <w:proofErr w:type="spellEnd"/>
      <w:r w:rsidRPr="00DE79F8">
        <w:t xml:space="preserve">”. </w:t>
      </w:r>
      <w:proofErr w:type="spellStart"/>
      <w:r w:rsidRPr="008C77AC">
        <w:rPr>
          <w:lang w:val="en-US"/>
        </w:rPr>
        <w:t>Lecciones</w:t>
      </w:r>
      <w:proofErr w:type="spellEnd"/>
      <w:r w:rsidRPr="008C77AC">
        <w:rPr>
          <w:lang w:val="en-US"/>
        </w:rPr>
        <w:t xml:space="preserve"> y </w:t>
      </w:r>
      <w:proofErr w:type="spellStart"/>
      <w:r w:rsidRPr="008C77AC">
        <w:rPr>
          <w:lang w:val="en-US"/>
        </w:rPr>
        <w:t>ensayos</w:t>
      </w:r>
      <w:proofErr w:type="spellEnd"/>
      <w:r w:rsidRPr="008C77AC">
        <w:rPr>
          <w:lang w:val="en-US"/>
        </w:rPr>
        <w:t xml:space="preserve"> (Buenos Aires, Argentina), 98, 281-3</w:t>
      </w:r>
      <w:r w:rsidRPr="00DE79F8">
        <w:rPr>
          <w:lang w:val="en-US"/>
        </w:rPr>
        <w:t>04.</w:t>
      </w:r>
    </w:p>
    <w:p w:rsidR="008C77AC" w:rsidRPr="00AE4FA3" w:rsidRDefault="008C77AC" w:rsidP="008C77AC">
      <w:pPr>
        <w:spacing w:after="0" w:line="240" w:lineRule="auto"/>
        <w:ind w:left="709" w:hanging="709"/>
        <w:rPr>
          <w:lang w:val="en-US"/>
        </w:rPr>
      </w:pPr>
      <w:r>
        <w:rPr>
          <w:lang w:val="en-US"/>
        </w:rPr>
        <w:t>COLLINS</w:t>
      </w:r>
      <w:r w:rsidRPr="00AE4FA3">
        <w:rPr>
          <w:lang w:val="en-US"/>
        </w:rPr>
        <w:t xml:space="preserve">, Cath (2008), “State Terror and the Law: The (Re)judicialization of Human Rights </w:t>
      </w:r>
      <w:proofErr w:type="spellStart"/>
      <w:r w:rsidRPr="00AE4FA3">
        <w:rPr>
          <w:lang w:val="en-US"/>
        </w:rPr>
        <w:t>Accontability</w:t>
      </w:r>
      <w:proofErr w:type="spellEnd"/>
      <w:r w:rsidRPr="00AE4FA3">
        <w:rPr>
          <w:lang w:val="en-US"/>
        </w:rPr>
        <w:t xml:space="preserve"> in Chile and El Salvador”, </w:t>
      </w:r>
      <w:r w:rsidRPr="00AE4FA3">
        <w:rPr>
          <w:i/>
          <w:lang w:val="en-US"/>
        </w:rPr>
        <w:t>Latin American Perspectives</w:t>
      </w:r>
      <w:r w:rsidRPr="00AE4FA3">
        <w:rPr>
          <w:lang w:val="en-US"/>
        </w:rPr>
        <w:t>, 2008: 35:20.</w:t>
      </w:r>
    </w:p>
    <w:p w:rsidR="0055168B" w:rsidRPr="0000474E" w:rsidRDefault="0055168B" w:rsidP="0055168B">
      <w:pPr>
        <w:spacing w:after="120" w:line="240" w:lineRule="auto"/>
        <w:ind w:left="454" w:hanging="454"/>
        <w:jc w:val="both"/>
        <w:rPr>
          <w:rFonts w:cstheme="minorHAnsi"/>
        </w:rPr>
      </w:pPr>
      <w:r w:rsidRPr="0055168B">
        <w:rPr>
          <w:rFonts w:cstheme="minorHAnsi"/>
          <w:caps/>
        </w:rPr>
        <w:t>Filippini</w:t>
      </w:r>
      <w:r w:rsidRPr="0000474E">
        <w:rPr>
          <w:rFonts w:cstheme="minorHAnsi"/>
        </w:rPr>
        <w:t>, L.</w:t>
      </w:r>
      <w:r w:rsidR="00BC7FDF">
        <w:rPr>
          <w:rFonts w:cstheme="minorHAnsi"/>
        </w:rPr>
        <w:t xml:space="preserve"> (2011)</w:t>
      </w:r>
      <w:r w:rsidRPr="0000474E">
        <w:rPr>
          <w:rFonts w:cstheme="minorHAnsi"/>
        </w:rPr>
        <w:t xml:space="preserve">, “La persecución penal en la búsqueda de justicia”, en J. Taiana, l. </w:t>
      </w:r>
      <w:proofErr w:type="spellStart"/>
      <w:r w:rsidRPr="0000474E">
        <w:rPr>
          <w:rFonts w:cstheme="minorHAnsi"/>
        </w:rPr>
        <w:t>Filippini</w:t>
      </w:r>
      <w:proofErr w:type="spellEnd"/>
      <w:r w:rsidRPr="0000474E">
        <w:rPr>
          <w:rFonts w:cstheme="minorHAnsi"/>
        </w:rPr>
        <w:t xml:space="preserve"> et al., </w:t>
      </w:r>
      <w:r w:rsidRPr="0000474E">
        <w:rPr>
          <w:rFonts w:cstheme="minorHAnsi"/>
          <w:i/>
        </w:rPr>
        <w:t>Hacer Justicia. Nuevos debates sobre el juzgamiento de crímenes de lesa humanidad en Argentina</w:t>
      </w:r>
      <w:r w:rsidRPr="0000474E">
        <w:rPr>
          <w:rFonts w:cstheme="minorHAnsi"/>
        </w:rPr>
        <w:t>, Siglo XXI, 2011, Buenos Aires.</w:t>
      </w:r>
    </w:p>
    <w:p w:rsidR="008C77AC" w:rsidRDefault="008C77AC" w:rsidP="008C77AC">
      <w:pPr>
        <w:spacing w:after="120"/>
        <w:ind w:left="709" w:hanging="709"/>
        <w:jc w:val="both"/>
        <w:rPr>
          <w:rFonts w:cstheme="minorHAnsi"/>
        </w:rPr>
      </w:pPr>
      <w:r>
        <w:rPr>
          <w:rFonts w:cstheme="minorHAnsi"/>
          <w:lang w:val="es-ES"/>
        </w:rPr>
        <w:t>HILB</w:t>
      </w:r>
      <w:r w:rsidRPr="0000474E">
        <w:rPr>
          <w:rFonts w:cstheme="minorHAnsi"/>
          <w:lang w:val="es-ES"/>
        </w:rPr>
        <w:t>, Claudia</w:t>
      </w:r>
      <w:r>
        <w:rPr>
          <w:rFonts w:cstheme="minorHAnsi"/>
        </w:rPr>
        <w:t xml:space="preserve"> (2013),</w:t>
      </w:r>
      <w:r w:rsidRPr="0000474E">
        <w:rPr>
          <w:rFonts w:cstheme="minorHAnsi"/>
          <w:lang w:val="es-ES"/>
        </w:rPr>
        <w:t xml:space="preserve"> “Alegrías morales y perplejidades teóricas: los juicios españoles a las dictaduras del Cono Sur”, en </w:t>
      </w:r>
      <w:r w:rsidRPr="0000474E">
        <w:rPr>
          <w:rFonts w:cstheme="minorHAnsi"/>
          <w:i/>
          <w:lang w:val="es-ES"/>
        </w:rPr>
        <w:t>Usos del pasado. Qué hacemos hoy con los setenta.</w:t>
      </w:r>
      <w:r w:rsidRPr="0000474E">
        <w:rPr>
          <w:rFonts w:cstheme="minorHAnsi"/>
          <w:lang w:val="es-ES"/>
        </w:rPr>
        <w:t xml:space="preserve"> </w:t>
      </w:r>
      <w:r w:rsidRPr="00A347C8">
        <w:rPr>
          <w:rFonts w:cstheme="minorHAnsi"/>
        </w:rPr>
        <w:t>Siglo XXI, 2013, Buenos Aires.</w:t>
      </w:r>
    </w:p>
    <w:p w:rsidR="008C77AC" w:rsidRPr="00D57594" w:rsidRDefault="008C77AC" w:rsidP="008C77AC">
      <w:pPr>
        <w:spacing w:after="120"/>
        <w:ind w:left="709" w:hanging="709"/>
        <w:jc w:val="both"/>
        <w:rPr>
          <w:rFonts w:cstheme="minorHAnsi"/>
          <w:bCs/>
          <w:lang w:val="en-US"/>
        </w:rPr>
      </w:pPr>
      <w:r w:rsidRPr="00D57594">
        <w:rPr>
          <w:rFonts w:cstheme="minorHAnsi"/>
          <w:lang w:val="en-US"/>
        </w:rPr>
        <w:t>N</w:t>
      </w:r>
      <w:r>
        <w:rPr>
          <w:rFonts w:cstheme="minorHAnsi"/>
          <w:lang w:val="en-US"/>
        </w:rPr>
        <w:t>AZARENO</w:t>
      </w:r>
      <w:r w:rsidRPr="00D57594">
        <w:rPr>
          <w:rFonts w:cstheme="minorHAnsi"/>
          <w:lang w:val="en-US"/>
        </w:rPr>
        <w:t>, Patricio “Impunity Reconsidered. International Law, Domestic P</w:t>
      </w:r>
      <w:r>
        <w:rPr>
          <w:rFonts w:cstheme="minorHAnsi"/>
          <w:lang w:val="en-US"/>
        </w:rPr>
        <w:t xml:space="preserve">olitics and the Pursuit of Justice”, </w:t>
      </w:r>
      <w:r>
        <w:rPr>
          <w:rFonts w:cstheme="minorHAnsi"/>
          <w:i/>
          <w:lang w:val="en-US"/>
        </w:rPr>
        <w:t>Harvard Human Rights Journal</w:t>
      </w:r>
      <w:r>
        <w:rPr>
          <w:rFonts w:cstheme="minorHAnsi"/>
          <w:lang w:val="en-US"/>
        </w:rPr>
        <w:t>, vol 33, 173-274.</w:t>
      </w:r>
    </w:p>
    <w:p w:rsidR="008C77AC" w:rsidRPr="00484B3A" w:rsidRDefault="008C77AC" w:rsidP="008C77AC">
      <w:pPr>
        <w:spacing w:after="120"/>
        <w:ind w:left="709" w:hanging="709"/>
        <w:jc w:val="both"/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 xml:space="preserve">SIKKINK, </w:t>
      </w:r>
      <w:proofErr w:type="spellStart"/>
      <w:r>
        <w:rPr>
          <w:rFonts w:cstheme="minorHAnsi"/>
          <w:bCs/>
          <w:lang w:val="es-ES"/>
        </w:rPr>
        <w:t>Kathryn</w:t>
      </w:r>
      <w:proofErr w:type="spellEnd"/>
      <w:r>
        <w:rPr>
          <w:rFonts w:cstheme="minorHAnsi"/>
          <w:bCs/>
          <w:lang w:val="es-ES"/>
        </w:rPr>
        <w:t xml:space="preserve"> (2013), </w:t>
      </w:r>
      <w:r>
        <w:rPr>
          <w:rFonts w:cstheme="minorHAnsi"/>
          <w:bCs/>
          <w:i/>
          <w:lang w:val="es-ES"/>
        </w:rPr>
        <w:t>La cascada de la justicia. Cómo los juicios de lesa humanidad están cambiando el mundo de la política</w:t>
      </w:r>
      <w:r>
        <w:rPr>
          <w:rFonts w:cstheme="minorHAnsi"/>
          <w:bCs/>
          <w:lang w:val="es-ES"/>
        </w:rPr>
        <w:t>, Buenos Aires: Gedisa.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lang w:val="en-US"/>
        </w:rPr>
      </w:pPr>
      <w:r w:rsidRPr="00484B3A">
        <w:rPr>
          <w:rFonts w:cstheme="minorHAnsi"/>
          <w:caps/>
          <w:lang w:val="en-US"/>
        </w:rPr>
        <w:t>Smulovitz</w:t>
      </w:r>
      <w:r w:rsidRPr="0000474E">
        <w:rPr>
          <w:rFonts w:cstheme="minorHAnsi"/>
          <w:lang w:val="en-US"/>
        </w:rPr>
        <w:t>, C. (2008): “‘I can´t get no satisfaction”: Accountability and Justice for Past Human Rights Violations in Argentina.’”, s/d, Buenos Aires.</w:t>
      </w:r>
    </w:p>
    <w:p w:rsidR="008C77AC" w:rsidRPr="008D198A" w:rsidRDefault="008C77AC" w:rsidP="008C77AC">
      <w:pPr>
        <w:ind w:left="709" w:hanging="709"/>
        <w:jc w:val="both"/>
        <w:rPr>
          <w:rFonts w:cstheme="minorHAnsi"/>
          <w:lang w:val="fr-FR"/>
        </w:rPr>
      </w:pPr>
      <w:r w:rsidRPr="008D198A">
        <w:rPr>
          <w:color w:val="323232"/>
          <w:shd w:val="clear" w:color="auto" w:fill="FFFFFF"/>
          <w:lang w:val="fr-FR"/>
        </w:rPr>
        <w:t>TAPPAT</w:t>
      </w:r>
      <w:r>
        <w:rPr>
          <w:color w:val="323232"/>
          <w:shd w:val="clear" w:color="auto" w:fill="FFFFFF"/>
          <w:lang w:val="fr-FR"/>
        </w:rPr>
        <w:t>Á</w:t>
      </w:r>
      <w:r w:rsidRPr="008D198A">
        <w:rPr>
          <w:color w:val="323232"/>
          <w:shd w:val="clear" w:color="auto" w:fill="FFFFFF"/>
          <w:lang w:val="fr-FR"/>
        </w:rPr>
        <w:t xml:space="preserve"> DE VALDEZ Patricia, « Argentine : la recherche de la vérité et de la justice comme construction d'une logique démocratique », </w:t>
      </w:r>
      <w:r w:rsidRPr="008D198A">
        <w:rPr>
          <w:i/>
          <w:iCs/>
          <w:color w:val="323232"/>
          <w:shd w:val="clear" w:color="auto" w:fill="FFFFFF"/>
          <w:lang w:val="fr-FR"/>
        </w:rPr>
        <w:t>Mouvements</w:t>
      </w:r>
      <w:r w:rsidRPr="008D198A">
        <w:rPr>
          <w:color w:val="323232"/>
          <w:shd w:val="clear" w:color="auto" w:fill="FFFFFF"/>
          <w:lang w:val="fr-FR"/>
        </w:rPr>
        <w:t xml:space="preserve">, 2008/1 (n° 53), p. 71-79. DOI : 10.3917/mouv.053.0071. URL : </w:t>
      </w:r>
      <w:hyperlink r:id="rId14" w:history="1">
        <w:r w:rsidRPr="008C77AC">
          <w:rPr>
            <w:rStyle w:val="Lienhypertexte"/>
            <w:shd w:val="clear" w:color="auto" w:fill="FFFFFF"/>
            <w:lang w:val="fr-FR"/>
          </w:rPr>
          <w:t>https://www.cairn.info/revue-mouvements-2008-1-page-71.htm</w:t>
        </w:r>
      </w:hyperlink>
      <w:r>
        <w:rPr>
          <w:color w:val="323232"/>
          <w:shd w:val="clear" w:color="auto" w:fill="FFFFFF"/>
          <w:lang w:val="fr-FR"/>
        </w:rPr>
        <w:t xml:space="preserve"> </w:t>
      </w:r>
    </w:p>
    <w:p w:rsidR="008C77AC" w:rsidRPr="001E1A9E" w:rsidRDefault="008C77AC" w:rsidP="008C77AC">
      <w:pPr>
        <w:spacing w:after="120" w:line="240" w:lineRule="auto"/>
        <w:ind w:left="709" w:hanging="709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Documents</w:t>
      </w:r>
      <w:proofErr w:type="spellEnd"/>
      <w:r w:rsidRPr="001E1A9E">
        <w:rPr>
          <w:rFonts w:cstheme="minorHAnsi"/>
          <w:b/>
        </w:rPr>
        <w:t>:</w:t>
      </w:r>
    </w:p>
    <w:p w:rsidR="008C77AC" w:rsidRDefault="008C77AC" w:rsidP="008C77AC">
      <w:pPr>
        <w:pStyle w:val="Paragraphedeliste"/>
        <w:spacing w:after="120" w:line="240" w:lineRule="auto"/>
        <w:ind w:left="709" w:hanging="709"/>
        <w:jc w:val="both"/>
        <w:rPr>
          <w:rFonts w:cstheme="minorHAnsi"/>
          <w:lang w:val="es-ES"/>
        </w:rPr>
      </w:pPr>
      <w:r w:rsidRPr="004D5514">
        <w:rPr>
          <w:rFonts w:cstheme="minorHAnsi"/>
          <w:caps/>
          <w:lang w:val="es-ES"/>
        </w:rPr>
        <w:t>Argentina</w:t>
      </w:r>
      <w:r>
        <w:rPr>
          <w:rFonts w:cstheme="minorHAnsi"/>
          <w:lang w:val="es-ES"/>
        </w:rPr>
        <w:t xml:space="preserve">, Corte Suprema de Justicia de la Nación, </w:t>
      </w:r>
      <w:proofErr w:type="spellStart"/>
      <w:r>
        <w:rPr>
          <w:rFonts w:cstheme="minorHAnsi"/>
          <w:lang w:val="es-ES"/>
        </w:rPr>
        <w:t>expte</w:t>
      </w:r>
      <w:proofErr w:type="spellEnd"/>
      <w:r>
        <w:rPr>
          <w:rFonts w:cstheme="minorHAnsi"/>
          <w:lang w:val="es-ES"/>
        </w:rPr>
        <w:t xml:space="preserve">. CSJ 1574/2014/RH1 “Bignone, Reynaldo Benito Antonio y </w:t>
      </w:r>
      <w:proofErr w:type="spellStart"/>
      <w:r>
        <w:rPr>
          <w:rFonts w:cstheme="minorHAnsi"/>
          <w:lang w:val="es-ES"/>
        </w:rPr>
        <w:t>otro s</w:t>
      </w:r>
      <w:proofErr w:type="spellEnd"/>
      <w:r>
        <w:rPr>
          <w:rFonts w:cstheme="minorHAnsi"/>
          <w:lang w:val="es-ES"/>
        </w:rPr>
        <w:t>/ recurso extraordinario”, 3 de mayo de 2017 [fallo “2x1”]</w:t>
      </w:r>
    </w:p>
    <w:p w:rsidR="0080184C" w:rsidRDefault="0080184C" w:rsidP="0080184C">
      <w:pPr>
        <w:spacing w:after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URUGUAY</w:t>
      </w:r>
      <w:r w:rsidRPr="00997587">
        <w:rPr>
          <w:rFonts w:cstheme="minorHAnsi"/>
        </w:rPr>
        <w:t xml:space="preserve">, Corte Suprema de Justicia, “Declaración de inconstitucionalidad de la Ley de Caducidad” Sentencia </w:t>
      </w:r>
      <w:proofErr w:type="spellStart"/>
      <w:r w:rsidRPr="00997587">
        <w:rPr>
          <w:rFonts w:cstheme="minorHAnsi"/>
        </w:rPr>
        <w:t>N°</w:t>
      </w:r>
      <w:proofErr w:type="spellEnd"/>
      <w:r w:rsidRPr="00997587">
        <w:rPr>
          <w:rFonts w:cstheme="minorHAnsi"/>
        </w:rPr>
        <w:t xml:space="preserve"> 365, Causa “Sabalsagaray </w:t>
      </w:r>
      <w:proofErr w:type="spellStart"/>
      <w:r w:rsidRPr="00997587">
        <w:rPr>
          <w:rFonts w:cstheme="minorHAnsi"/>
        </w:rPr>
        <w:t>Curutchet</w:t>
      </w:r>
      <w:proofErr w:type="spellEnd"/>
      <w:r w:rsidRPr="00997587">
        <w:rPr>
          <w:rFonts w:cstheme="minorHAnsi"/>
        </w:rPr>
        <w:t>, Blanca Stela…”, Montevideo, 19 de octubre de 2009.</w:t>
      </w:r>
    </w:p>
    <w:p w:rsidR="008C77AC" w:rsidRPr="00B76E5A" w:rsidRDefault="008C77AC" w:rsidP="008C77AC">
      <w:pPr>
        <w:pStyle w:val="Paragraphedeliste"/>
        <w:spacing w:after="120" w:line="240" w:lineRule="auto"/>
        <w:ind w:left="709" w:hanging="709"/>
        <w:jc w:val="both"/>
        <w:rPr>
          <w:rFonts w:cstheme="minorHAnsi"/>
          <w:lang w:val="es-ES"/>
        </w:rPr>
      </w:pPr>
    </w:p>
    <w:p w:rsidR="008C77AC" w:rsidRPr="005B6036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sz w:val="24"/>
          <w:szCs w:val="24"/>
          <w:lang w:val="fr-FR"/>
        </w:rPr>
      </w:pPr>
      <w:r w:rsidRPr="005B6036">
        <w:rPr>
          <w:rFonts w:cstheme="minorHAnsi"/>
          <w:b/>
          <w:sz w:val="24"/>
          <w:szCs w:val="24"/>
          <w:lang w:val="fr-FR"/>
        </w:rPr>
        <w:t xml:space="preserve">Partie 3. La souveraineté populaire et justice démocratique </w:t>
      </w:r>
    </w:p>
    <w:p w:rsidR="008C77AC" w:rsidRPr="00BC7FDF" w:rsidRDefault="008C77AC" w:rsidP="008C77AC">
      <w:pPr>
        <w:spacing w:after="120" w:line="240" w:lineRule="auto"/>
        <w:jc w:val="both"/>
        <w:rPr>
          <w:rFonts w:cstheme="minorHAnsi"/>
          <w:lang w:val="fr-FR"/>
        </w:rPr>
      </w:pPr>
    </w:p>
    <w:p w:rsidR="008C77AC" w:rsidRPr="00BC7FDF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smallCaps/>
          <w:sz w:val="24"/>
          <w:szCs w:val="24"/>
          <w:lang w:val="fr-FR"/>
        </w:rPr>
      </w:pPr>
      <w:r w:rsidRPr="00BC7FDF">
        <w:rPr>
          <w:rFonts w:cstheme="minorHAnsi"/>
          <w:b/>
          <w:smallCaps/>
          <w:sz w:val="24"/>
          <w:szCs w:val="24"/>
          <w:lang w:val="fr-FR"/>
        </w:rPr>
        <w:t>Séance 5</w:t>
      </w:r>
    </w:p>
    <w:p w:rsidR="008C77AC" w:rsidRPr="00BC7FDF" w:rsidRDefault="008C77AC" w:rsidP="008C77AC">
      <w:pPr>
        <w:spacing w:after="120" w:line="240" w:lineRule="auto"/>
        <w:jc w:val="both"/>
        <w:rPr>
          <w:rFonts w:cstheme="minorHAnsi"/>
          <w:b/>
          <w:lang w:val="fr-FR"/>
        </w:rPr>
      </w:pPr>
      <w:r w:rsidRPr="00BC7FDF">
        <w:rPr>
          <w:rFonts w:cstheme="minorHAnsi"/>
          <w:b/>
          <w:lang w:val="fr-FR"/>
        </w:rPr>
        <w:t>Lecture obligatoire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lang w:val="en-US"/>
        </w:rPr>
      </w:pPr>
      <w:r w:rsidRPr="00BC7FDF">
        <w:rPr>
          <w:rFonts w:cstheme="minorHAnsi"/>
          <w:lang w:val="fr-FR"/>
        </w:rPr>
        <w:lastRenderedPageBreak/>
        <w:t>LESSA, Francesca: “</w:t>
      </w:r>
      <w:proofErr w:type="spellStart"/>
      <w:r w:rsidRPr="00BC7FDF">
        <w:rPr>
          <w:rFonts w:cstheme="minorHAnsi"/>
          <w:lang w:val="fr-FR"/>
        </w:rPr>
        <w:t>Barriers</w:t>
      </w:r>
      <w:proofErr w:type="spellEnd"/>
      <w:r w:rsidRPr="00BC7FDF">
        <w:rPr>
          <w:rFonts w:cstheme="minorHAnsi"/>
          <w:lang w:val="fr-FR"/>
        </w:rPr>
        <w:t xml:space="preserve"> to Justice. </w:t>
      </w:r>
      <w:r w:rsidRPr="0000474E">
        <w:rPr>
          <w:rFonts w:cstheme="minorHAnsi"/>
          <w:lang w:val="en-US"/>
        </w:rPr>
        <w:t xml:space="preserve">The </w:t>
      </w:r>
      <w:r w:rsidRPr="0000474E">
        <w:rPr>
          <w:rFonts w:cstheme="minorHAnsi"/>
          <w:i/>
          <w:lang w:val="en-US"/>
        </w:rPr>
        <w:t xml:space="preserve">Ley de </w:t>
      </w:r>
      <w:proofErr w:type="spellStart"/>
      <w:r w:rsidRPr="0000474E">
        <w:rPr>
          <w:rFonts w:cstheme="minorHAnsi"/>
          <w:i/>
          <w:lang w:val="en-US"/>
        </w:rPr>
        <w:t>Caducidad</w:t>
      </w:r>
      <w:proofErr w:type="spellEnd"/>
      <w:r w:rsidRPr="0000474E">
        <w:rPr>
          <w:rFonts w:cstheme="minorHAnsi"/>
          <w:lang w:val="en-US"/>
        </w:rPr>
        <w:t xml:space="preserve"> and Impunity in Uruguay”, </w:t>
      </w:r>
      <w:proofErr w:type="spellStart"/>
      <w:r w:rsidRPr="0000474E">
        <w:rPr>
          <w:rFonts w:cstheme="minorHAnsi"/>
          <w:lang w:val="en-US"/>
        </w:rPr>
        <w:t>en</w:t>
      </w:r>
      <w:proofErr w:type="spellEnd"/>
      <w:r w:rsidRPr="0000474E">
        <w:rPr>
          <w:rFonts w:cstheme="minorHAnsi"/>
          <w:lang w:val="en-US"/>
        </w:rPr>
        <w:t xml:space="preserve"> </w:t>
      </w:r>
      <w:proofErr w:type="spellStart"/>
      <w:r w:rsidRPr="0000474E">
        <w:rPr>
          <w:rFonts w:cstheme="minorHAnsi"/>
          <w:lang w:val="en-US"/>
        </w:rPr>
        <w:t>Lessa</w:t>
      </w:r>
      <w:proofErr w:type="spellEnd"/>
      <w:r w:rsidRPr="0000474E">
        <w:rPr>
          <w:rFonts w:cstheme="minorHAnsi"/>
          <w:lang w:val="en-US"/>
        </w:rPr>
        <w:t xml:space="preserve">, F. and L. A. Payne (ed.) (2012): </w:t>
      </w:r>
      <w:r w:rsidRPr="0000474E">
        <w:rPr>
          <w:rFonts w:cstheme="minorHAnsi"/>
          <w:i/>
          <w:lang w:val="en-US"/>
        </w:rPr>
        <w:t>Amnesty in the Age of Human Rights Accountability. Comparative and International Perspectives</w:t>
      </w:r>
      <w:r w:rsidRPr="0000474E">
        <w:rPr>
          <w:rFonts w:cstheme="minorHAnsi"/>
          <w:lang w:val="en-US"/>
        </w:rPr>
        <w:t>, Cambridge University Press, New York, pp. 123-151.</w:t>
      </w:r>
    </w:p>
    <w:p w:rsidR="008C77AC" w:rsidRPr="00E33C1F" w:rsidRDefault="008C77AC" w:rsidP="008C77AC">
      <w:pPr>
        <w:spacing w:after="120" w:line="240" w:lineRule="auto"/>
        <w:jc w:val="both"/>
        <w:rPr>
          <w:rFonts w:cstheme="minorHAnsi"/>
          <w:b/>
        </w:rPr>
      </w:pPr>
      <w:proofErr w:type="spellStart"/>
      <w:r w:rsidRPr="00E33C1F">
        <w:rPr>
          <w:rFonts w:cstheme="minorHAnsi"/>
          <w:b/>
        </w:rPr>
        <w:t>Lectures</w:t>
      </w:r>
      <w:proofErr w:type="spellEnd"/>
      <w:r w:rsidRPr="00E33C1F">
        <w:rPr>
          <w:rFonts w:cstheme="minorHAnsi"/>
          <w:b/>
        </w:rPr>
        <w:t xml:space="preserve"> </w:t>
      </w:r>
      <w:proofErr w:type="spellStart"/>
      <w:r w:rsidRPr="00E33C1F">
        <w:rPr>
          <w:rFonts w:cstheme="minorHAnsi"/>
          <w:b/>
        </w:rPr>
        <w:t>récommandés</w:t>
      </w:r>
      <w:proofErr w:type="spellEnd"/>
    </w:p>
    <w:p w:rsidR="0055168B" w:rsidRPr="0055168B" w:rsidRDefault="0055168B" w:rsidP="0055168B">
      <w:pPr>
        <w:spacing w:after="120" w:line="240" w:lineRule="auto"/>
        <w:ind w:left="454" w:hanging="454"/>
        <w:jc w:val="both"/>
        <w:rPr>
          <w:rFonts w:eastAsia="Times New Roman" w:cstheme="minorHAnsi"/>
          <w:bCs/>
          <w:lang w:val="en-US" w:eastAsia="es-AR"/>
        </w:rPr>
      </w:pPr>
      <w:r w:rsidRPr="0055168B">
        <w:rPr>
          <w:rFonts w:eastAsia="Times New Roman" w:cstheme="minorHAnsi"/>
          <w:bCs/>
          <w:caps/>
          <w:lang w:val="es-ES" w:eastAsia="es-AR"/>
        </w:rPr>
        <w:t>Fried</w:t>
      </w:r>
      <w:r w:rsidRPr="0000474E">
        <w:rPr>
          <w:rFonts w:eastAsia="Times New Roman" w:cstheme="minorHAnsi"/>
          <w:bCs/>
          <w:lang w:val="es-ES" w:eastAsia="es-AR"/>
        </w:rPr>
        <w:t xml:space="preserve">, G. y F. </w:t>
      </w:r>
      <w:r>
        <w:rPr>
          <w:rFonts w:eastAsia="Times New Roman" w:cstheme="minorHAnsi"/>
          <w:bCs/>
          <w:lang w:val="es-ES" w:eastAsia="es-AR"/>
        </w:rPr>
        <w:t>LESSA</w:t>
      </w:r>
      <w:r w:rsidRPr="0000474E">
        <w:rPr>
          <w:rFonts w:eastAsia="Times New Roman" w:cstheme="minorHAnsi"/>
          <w:bCs/>
          <w:lang w:val="es-ES" w:eastAsia="es-AR"/>
        </w:rPr>
        <w:t xml:space="preserve"> (</w:t>
      </w:r>
      <w:proofErr w:type="spellStart"/>
      <w:r w:rsidRPr="0000474E">
        <w:rPr>
          <w:rFonts w:eastAsia="Times New Roman" w:cstheme="minorHAnsi"/>
          <w:bCs/>
          <w:lang w:val="es-ES" w:eastAsia="es-AR"/>
        </w:rPr>
        <w:t>comps</w:t>
      </w:r>
      <w:proofErr w:type="spellEnd"/>
      <w:r w:rsidRPr="0000474E">
        <w:rPr>
          <w:rFonts w:eastAsia="Times New Roman" w:cstheme="minorHAnsi"/>
          <w:bCs/>
          <w:lang w:val="es-ES" w:eastAsia="es-AR"/>
        </w:rPr>
        <w:t xml:space="preserve">.), </w:t>
      </w:r>
      <w:r w:rsidRPr="0000474E">
        <w:rPr>
          <w:rFonts w:eastAsia="Times New Roman" w:cstheme="minorHAnsi"/>
          <w:bCs/>
          <w:i/>
          <w:lang w:val="es-ES" w:eastAsia="es-AR"/>
        </w:rPr>
        <w:t xml:space="preserve">Luchas contra la impunidad. </w:t>
      </w:r>
      <w:r w:rsidRPr="0055168B">
        <w:rPr>
          <w:rFonts w:eastAsia="Times New Roman" w:cstheme="minorHAnsi"/>
          <w:bCs/>
          <w:i/>
          <w:lang w:val="en-US" w:eastAsia="es-AR"/>
        </w:rPr>
        <w:t>Uruguay 1985-2011</w:t>
      </w:r>
      <w:r w:rsidRPr="0055168B">
        <w:rPr>
          <w:rFonts w:eastAsia="Times New Roman" w:cstheme="minorHAnsi"/>
          <w:bCs/>
          <w:lang w:val="en-US" w:eastAsia="es-AR"/>
        </w:rPr>
        <w:t xml:space="preserve">, </w:t>
      </w:r>
      <w:proofErr w:type="spellStart"/>
      <w:r w:rsidRPr="0055168B">
        <w:rPr>
          <w:rFonts w:eastAsia="Times New Roman" w:cstheme="minorHAnsi"/>
          <w:bCs/>
          <w:lang w:val="en-US" w:eastAsia="es-AR"/>
        </w:rPr>
        <w:t>Trilce</w:t>
      </w:r>
      <w:proofErr w:type="spellEnd"/>
      <w:r w:rsidRPr="0055168B">
        <w:rPr>
          <w:rFonts w:eastAsia="Times New Roman" w:cstheme="minorHAnsi"/>
          <w:bCs/>
          <w:lang w:val="en-US" w:eastAsia="es-AR"/>
        </w:rPr>
        <w:t>, Montevideo.</w:t>
      </w:r>
    </w:p>
    <w:p w:rsidR="0055168B" w:rsidRPr="00BC7FDF" w:rsidRDefault="0055168B" w:rsidP="0055168B">
      <w:pPr>
        <w:autoSpaceDE w:val="0"/>
        <w:autoSpaceDN w:val="0"/>
        <w:adjustRightInd w:val="0"/>
        <w:spacing w:after="120" w:line="240" w:lineRule="auto"/>
        <w:ind w:left="454" w:hanging="454"/>
        <w:jc w:val="both"/>
        <w:rPr>
          <w:rFonts w:cstheme="minorHAnsi"/>
        </w:rPr>
      </w:pPr>
      <w:r>
        <w:rPr>
          <w:rFonts w:cstheme="minorHAnsi"/>
          <w:lang w:val="en-US"/>
        </w:rPr>
        <w:t>LESSA</w:t>
      </w:r>
      <w:r w:rsidRPr="0000474E">
        <w:rPr>
          <w:rFonts w:cstheme="minorHAnsi"/>
          <w:lang w:val="en-US"/>
        </w:rPr>
        <w:t xml:space="preserve">, F. and L. A. </w:t>
      </w:r>
      <w:r>
        <w:rPr>
          <w:rFonts w:cstheme="minorHAnsi"/>
          <w:lang w:val="en-US"/>
        </w:rPr>
        <w:t>PAYNE</w:t>
      </w:r>
      <w:r w:rsidRPr="0000474E">
        <w:rPr>
          <w:rFonts w:cstheme="minorHAnsi"/>
          <w:lang w:val="en-US"/>
        </w:rPr>
        <w:t xml:space="preserve"> (ed) (2012): </w:t>
      </w:r>
      <w:r w:rsidRPr="0000474E">
        <w:rPr>
          <w:rFonts w:cstheme="minorHAnsi"/>
          <w:i/>
          <w:lang w:val="en-US"/>
        </w:rPr>
        <w:t xml:space="preserve">Amnesty in the Age of Human Rights Accountability. </w:t>
      </w:r>
      <w:r w:rsidRPr="00BC7FDF">
        <w:rPr>
          <w:rFonts w:cstheme="minorHAnsi"/>
          <w:i/>
        </w:rPr>
        <w:t xml:space="preserve">Comparative and International </w:t>
      </w:r>
      <w:proofErr w:type="spellStart"/>
      <w:r w:rsidRPr="00BC7FDF">
        <w:rPr>
          <w:rFonts w:cstheme="minorHAnsi"/>
          <w:i/>
        </w:rPr>
        <w:t>Perspectives</w:t>
      </w:r>
      <w:proofErr w:type="spellEnd"/>
      <w:r w:rsidRPr="00BC7FDF">
        <w:rPr>
          <w:rFonts w:cstheme="minorHAnsi"/>
        </w:rPr>
        <w:t xml:space="preserve">, Cambridge </w:t>
      </w:r>
      <w:proofErr w:type="spellStart"/>
      <w:r w:rsidRPr="00BC7FDF">
        <w:rPr>
          <w:rFonts w:cstheme="minorHAnsi"/>
        </w:rPr>
        <w:t>University</w:t>
      </w:r>
      <w:proofErr w:type="spellEnd"/>
      <w:r w:rsidRPr="00BC7FDF">
        <w:rPr>
          <w:rFonts w:cstheme="minorHAnsi"/>
        </w:rPr>
        <w:t xml:space="preserve"> </w:t>
      </w:r>
      <w:proofErr w:type="spellStart"/>
      <w:r w:rsidRPr="00BC7FDF">
        <w:rPr>
          <w:rFonts w:cstheme="minorHAnsi"/>
        </w:rPr>
        <w:t>Press</w:t>
      </w:r>
      <w:proofErr w:type="spellEnd"/>
      <w:r w:rsidRPr="00BC7FDF">
        <w:rPr>
          <w:rFonts w:cstheme="minorHAnsi"/>
        </w:rPr>
        <w:t xml:space="preserve">, New York. </w:t>
      </w:r>
    </w:p>
    <w:p w:rsidR="0055168B" w:rsidRPr="0000474E" w:rsidRDefault="0055168B" w:rsidP="0055168B">
      <w:pPr>
        <w:autoSpaceDE w:val="0"/>
        <w:autoSpaceDN w:val="0"/>
        <w:adjustRightInd w:val="0"/>
        <w:spacing w:after="120" w:line="240" w:lineRule="auto"/>
        <w:ind w:left="454" w:hanging="454"/>
        <w:jc w:val="both"/>
        <w:rPr>
          <w:rFonts w:cstheme="minorHAnsi"/>
          <w:lang w:val="es-ES"/>
        </w:rPr>
      </w:pPr>
      <w:r w:rsidRPr="00BC7FDF">
        <w:rPr>
          <w:rFonts w:eastAsia="Times New Roman" w:cstheme="minorHAnsi"/>
          <w:bCs/>
          <w:lang w:eastAsia="es-AR"/>
        </w:rPr>
        <w:t>MARCHESI, A. (</w:t>
      </w:r>
      <w:proofErr w:type="spellStart"/>
      <w:r w:rsidRPr="00BC7FDF">
        <w:rPr>
          <w:rFonts w:eastAsia="Times New Roman" w:cstheme="minorHAnsi"/>
          <w:bCs/>
          <w:lang w:eastAsia="es-AR"/>
        </w:rPr>
        <w:t>org</w:t>
      </w:r>
      <w:proofErr w:type="spellEnd"/>
      <w:r w:rsidRPr="00BC7FDF">
        <w:rPr>
          <w:rFonts w:eastAsia="Times New Roman" w:cstheme="minorHAnsi"/>
          <w:bCs/>
          <w:lang w:eastAsia="es-AR"/>
        </w:rPr>
        <w:t xml:space="preserve">.) </w:t>
      </w:r>
      <w:r w:rsidRPr="0000474E">
        <w:rPr>
          <w:rFonts w:eastAsia="Times New Roman" w:cstheme="minorHAnsi"/>
          <w:bCs/>
          <w:lang w:val="es-ES" w:eastAsia="es-AR"/>
        </w:rPr>
        <w:t xml:space="preserve">(2013), </w:t>
      </w:r>
      <w:r w:rsidRPr="0000474E">
        <w:rPr>
          <w:rFonts w:eastAsia="Times New Roman" w:cstheme="minorHAnsi"/>
          <w:bCs/>
          <w:i/>
          <w:lang w:val="es-ES" w:eastAsia="es-AR"/>
        </w:rPr>
        <w:t>Ley de caducidad: un tema inconcluso</w:t>
      </w:r>
      <w:r w:rsidRPr="0000474E">
        <w:rPr>
          <w:rFonts w:eastAsia="Times New Roman" w:cstheme="minorHAnsi"/>
          <w:bCs/>
          <w:lang w:val="es-ES" w:eastAsia="es-AR"/>
        </w:rPr>
        <w:t>, Trilce, Montevideo.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</w:rPr>
      </w:pPr>
      <w:r w:rsidRPr="00BC7FDF">
        <w:rPr>
          <w:rFonts w:cstheme="minorHAnsi"/>
          <w:caps/>
          <w:lang w:val="fr-FR"/>
        </w:rPr>
        <w:t>Rodríguez Cuadros</w:t>
      </w:r>
      <w:r w:rsidRPr="00BC7FDF">
        <w:rPr>
          <w:rFonts w:cstheme="minorHAnsi"/>
          <w:lang w:val="fr-FR"/>
        </w:rPr>
        <w:t xml:space="preserve">, J. D. (2017). Référendum pour la paix en Colombie. </w:t>
      </w:r>
      <w:proofErr w:type="spellStart"/>
      <w:r w:rsidRPr="001A0A7E">
        <w:rPr>
          <w:rFonts w:cstheme="minorHAnsi"/>
        </w:rPr>
        <w:t>Problèmes</w:t>
      </w:r>
      <w:proofErr w:type="spellEnd"/>
      <w:r w:rsidRPr="001A0A7E">
        <w:rPr>
          <w:rFonts w:cstheme="minorHAnsi"/>
        </w:rPr>
        <w:t xml:space="preserve"> </w:t>
      </w:r>
      <w:proofErr w:type="spellStart"/>
      <w:r w:rsidRPr="001A0A7E">
        <w:rPr>
          <w:rFonts w:cstheme="minorHAnsi"/>
        </w:rPr>
        <w:t>d’Amérique</w:t>
      </w:r>
      <w:proofErr w:type="spellEnd"/>
      <w:r w:rsidRPr="001A0A7E">
        <w:rPr>
          <w:rFonts w:cstheme="minorHAnsi"/>
        </w:rPr>
        <w:t xml:space="preserve"> latine, 102(3), 131</w:t>
      </w:r>
      <w:r w:rsidRPr="001A0A7E">
        <w:rPr>
          <w:rFonts w:ascii="Cambria Math" w:hAnsi="Cambria Math" w:cstheme="minorHAnsi"/>
        </w:rPr>
        <w:t>‑</w:t>
      </w:r>
      <w:r w:rsidRPr="001A0A7E">
        <w:rPr>
          <w:rFonts w:cstheme="minorHAnsi"/>
        </w:rPr>
        <w:t xml:space="preserve">134. </w:t>
      </w:r>
      <w:hyperlink r:id="rId15" w:history="1">
        <w:r w:rsidRPr="00EF3C8C">
          <w:rPr>
            <w:rStyle w:val="Lienhypertexte"/>
            <w:rFonts w:cstheme="minorHAnsi"/>
          </w:rPr>
          <w:t>https://doi.org/10.3917/pal.102.0131</w:t>
        </w:r>
      </w:hyperlink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</w:rPr>
      </w:pPr>
      <w:r w:rsidRPr="00997587">
        <w:rPr>
          <w:rFonts w:cstheme="minorHAnsi"/>
          <w:caps/>
        </w:rPr>
        <w:t>Servicio de Paz y Justicia</w:t>
      </w:r>
      <w:r w:rsidRPr="00997587">
        <w:rPr>
          <w:rFonts w:cstheme="minorHAnsi"/>
        </w:rPr>
        <w:t xml:space="preserve"> (</w:t>
      </w:r>
      <w:proofErr w:type="spellStart"/>
      <w:r w:rsidRPr="00997587">
        <w:rPr>
          <w:rFonts w:cstheme="minorHAnsi"/>
        </w:rPr>
        <w:t>Serpaj</w:t>
      </w:r>
      <w:proofErr w:type="spellEnd"/>
      <w:r w:rsidRPr="00997587">
        <w:rPr>
          <w:rFonts w:cstheme="minorHAnsi"/>
        </w:rPr>
        <w:t xml:space="preserve">) (1989): </w:t>
      </w:r>
      <w:r w:rsidRPr="00297912">
        <w:rPr>
          <w:rFonts w:cstheme="minorHAnsi"/>
          <w:i/>
        </w:rPr>
        <w:t>Uruguay Nunca Más. Informe sobre la violación de los derechos humanos (1972-1985)</w:t>
      </w:r>
      <w:r w:rsidRPr="00997587">
        <w:rPr>
          <w:rFonts w:cstheme="minorHAnsi"/>
        </w:rPr>
        <w:t>, Montevideo.</w:t>
      </w:r>
    </w:p>
    <w:p w:rsidR="008C77AC" w:rsidRPr="004D5514" w:rsidRDefault="008C77AC" w:rsidP="008C77AC">
      <w:pPr>
        <w:spacing w:after="120" w:line="240" w:lineRule="auto"/>
        <w:ind w:left="709" w:hanging="709"/>
        <w:jc w:val="both"/>
        <w:rPr>
          <w:rFonts w:cstheme="minorHAnsi"/>
          <w:b/>
          <w:lang w:val="es-ES"/>
        </w:rPr>
      </w:pPr>
      <w:proofErr w:type="spellStart"/>
      <w:r w:rsidRPr="004D5514">
        <w:rPr>
          <w:rFonts w:cstheme="minorHAnsi"/>
          <w:b/>
          <w:lang w:val="es-ES"/>
        </w:rPr>
        <w:t>Document</w:t>
      </w:r>
      <w:proofErr w:type="spellEnd"/>
      <w:r w:rsidRPr="004D5514">
        <w:rPr>
          <w:rFonts w:cstheme="minorHAnsi"/>
          <w:b/>
          <w:lang w:val="es-ES"/>
        </w:rPr>
        <w:t>:</w:t>
      </w:r>
    </w:p>
    <w:p w:rsidR="008C77AC" w:rsidRPr="004D5514" w:rsidRDefault="008C77AC" w:rsidP="008C77AC">
      <w:pPr>
        <w:spacing w:after="120" w:line="240" w:lineRule="auto"/>
        <w:ind w:left="709" w:hanging="709"/>
        <w:jc w:val="both"/>
        <w:rPr>
          <w:rFonts w:cstheme="minorHAnsi"/>
        </w:rPr>
      </w:pPr>
      <w:r w:rsidRPr="004D5514">
        <w:rPr>
          <w:rFonts w:cstheme="minorHAnsi"/>
          <w:lang w:val="es-ES"/>
        </w:rPr>
        <w:t>URUGUAY, Ley 15.848/86 (de Caducidad de la Pretensión Punitiva del Estado), Montevideo, 1986.</w:t>
      </w:r>
      <w:r w:rsidRPr="004D5514">
        <w:rPr>
          <w:rFonts w:cstheme="minorHAnsi"/>
        </w:rPr>
        <w:t xml:space="preserve"> </w:t>
      </w:r>
    </w:p>
    <w:p w:rsidR="008C77AC" w:rsidRPr="004D5514" w:rsidRDefault="008C77AC" w:rsidP="008C77AC">
      <w:pPr>
        <w:pStyle w:val="Paragraphedeliste"/>
        <w:spacing w:after="0" w:line="240" w:lineRule="auto"/>
        <w:ind w:left="709" w:hanging="709"/>
        <w:rPr>
          <w:rFonts w:cstheme="minorHAnsi"/>
          <w:lang w:val="es-ES"/>
        </w:rPr>
      </w:pPr>
      <w:r>
        <w:rPr>
          <w:rFonts w:cstheme="minorHAnsi"/>
          <w:lang w:val="es-ES"/>
        </w:rPr>
        <w:t>URUGUAY</w:t>
      </w:r>
      <w:r w:rsidRPr="004D5514">
        <w:rPr>
          <w:rFonts w:cstheme="minorHAnsi"/>
          <w:lang w:val="es-ES"/>
        </w:rPr>
        <w:t xml:space="preserve">, </w:t>
      </w:r>
      <w:r w:rsidRPr="004D5514">
        <w:rPr>
          <w:rFonts w:cstheme="minorHAnsi"/>
          <w:i/>
          <w:lang w:val="es-ES"/>
        </w:rPr>
        <w:t>Informe final de la comisión para la paz</w:t>
      </w:r>
      <w:r w:rsidRPr="004D5514">
        <w:rPr>
          <w:rFonts w:cstheme="minorHAnsi"/>
          <w:lang w:val="es-ES"/>
        </w:rPr>
        <w:t>, 10 de abril de 2003.</w:t>
      </w:r>
    </w:p>
    <w:p w:rsidR="008C77AC" w:rsidRPr="00997587" w:rsidRDefault="008C77AC" w:rsidP="008C77AC">
      <w:pPr>
        <w:spacing w:after="120" w:line="240" w:lineRule="auto"/>
        <w:ind w:left="709" w:hanging="709"/>
        <w:jc w:val="both"/>
        <w:rPr>
          <w:rFonts w:cstheme="minorHAnsi"/>
          <w:lang w:val="es-ES"/>
        </w:rPr>
      </w:pPr>
    </w:p>
    <w:p w:rsidR="008C77AC" w:rsidRPr="00BC7FDF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 w:hanging="709"/>
        <w:jc w:val="both"/>
        <w:rPr>
          <w:rFonts w:cstheme="minorHAnsi"/>
          <w:b/>
          <w:smallCaps/>
          <w:sz w:val="24"/>
          <w:szCs w:val="24"/>
          <w:lang w:val="fr-FR"/>
        </w:rPr>
      </w:pPr>
      <w:r w:rsidRPr="00BC7FDF">
        <w:rPr>
          <w:rFonts w:cstheme="minorHAnsi"/>
          <w:b/>
          <w:smallCaps/>
          <w:sz w:val="24"/>
          <w:szCs w:val="24"/>
          <w:lang w:val="fr-FR"/>
        </w:rPr>
        <w:t>Séance 6</w:t>
      </w:r>
    </w:p>
    <w:p w:rsidR="008C77AC" w:rsidRPr="0055168B" w:rsidRDefault="0055168B" w:rsidP="008C77AC">
      <w:pPr>
        <w:spacing w:after="120" w:line="240" w:lineRule="auto"/>
        <w:jc w:val="both"/>
        <w:rPr>
          <w:rFonts w:cstheme="minorHAnsi"/>
          <w:b/>
          <w:color w:val="FF0000"/>
          <w:lang w:val="fr-FR"/>
        </w:rPr>
      </w:pPr>
      <w:r w:rsidRPr="0055168B">
        <w:rPr>
          <w:rFonts w:cstheme="minorHAnsi"/>
          <w:b/>
          <w:lang w:val="fr-FR"/>
        </w:rPr>
        <w:t>Premi</w:t>
      </w:r>
      <w:r>
        <w:rPr>
          <w:rFonts w:cstheme="minorHAnsi"/>
          <w:b/>
          <w:lang w:val="fr-FR"/>
        </w:rPr>
        <w:t>è</w:t>
      </w:r>
      <w:r w:rsidRPr="0055168B">
        <w:rPr>
          <w:rFonts w:cstheme="minorHAnsi"/>
          <w:b/>
          <w:lang w:val="fr-FR"/>
        </w:rPr>
        <w:t xml:space="preserve">re partie de la séance: </w:t>
      </w:r>
      <w:r w:rsidR="008C77AC" w:rsidRPr="0055168B">
        <w:rPr>
          <w:rFonts w:cstheme="minorHAnsi"/>
          <w:b/>
          <w:color w:val="FF0000"/>
          <w:lang w:val="fr-FR"/>
        </w:rPr>
        <w:t>Évaluation</w:t>
      </w:r>
    </w:p>
    <w:p w:rsidR="00297912" w:rsidRPr="00297912" w:rsidRDefault="00297912" w:rsidP="00297912">
      <w:pPr>
        <w:ind w:left="709" w:right="-856" w:hanging="709"/>
        <w:jc w:val="both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Deuxième</w:t>
      </w:r>
      <w:r w:rsidRPr="00297912">
        <w:rPr>
          <w:rFonts w:cstheme="minorHAnsi"/>
          <w:b/>
          <w:lang w:val="fr-FR"/>
        </w:rPr>
        <w:t xml:space="preserve"> partie de la séance</w:t>
      </w:r>
      <w:r>
        <w:rPr>
          <w:rFonts w:cstheme="minorHAnsi"/>
          <w:caps/>
          <w:lang w:val="fr-FR"/>
        </w:rPr>
        <w:t xml:space="preserve">. </w:t>
      </w:r>
      <w:r w:rsidRPr="00297912">
        <w:rPr>
          <w:rFonts w:cstheme="minorHAnsi"/>
          <w:b/>
          <w:lang w:val="fr-FR"/>
        </w:rPr>
        <w:t>Lecture:</w:t>
      </w:r>
    </w:p>
    <w:p w:rsidR="008C77AC" w:rsidRPr="00E33C1F" w:rsidRDefault="008C77AC" w:rsidP="008C77AC">
      <w:pPr>
        <w:ind w:left="709" w:right="-85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D5514">
        <w:rPr>
          <w:rFonts w:cstheme="minorHAnsi"/>
          <w:caps/>
        </w:rPr>
        <w:t>Gargarella</w:t>
      </w:r>
      <w:r w:rsidRPr="00A347C8">
        <w:rPr>
          <w:rFonts w:cstheme="minorHAnsi"/>
        </w:rPr>
        <w:t xml:space="preserve">, Roberto (2016), </w:t>
      </w:r>
      <w:r w:rsidRPr="00A347C8">
        <w:rPr>
          <w:rFonts w:cstheme="minorHAnsi"/>
          <w:i/>
        </w:rPr>
        <w:t>Castigar al prójimo. Por una refundación democrática del derecho penal</w:t>
      </w:r>
      <w:r w:rsidRPr="00A347C8">
        <w:rPr>
          <w:rFonts w:cstheme="minorHAnsi"/>
        </w:rPr>
        <w:t>, Siglo XXI, Buenos Aires. Cap. 4 “Sin lugar para la soberanía popular. Democracia, derechos y castigo en el caso ‘Gelman’”, pp. 81-124.</w:t>
      </w:r>
      <w:r>
        <w:rPr>
          <w:rFonts w:cstheme="minorHAnsi"/>
        </w:rPr>
        <w:t xml:space="preserve"> </w:t>
      </w:r>
      <w:r w:rsidRPr="00E33C1F">
        <w:rPr>
          <w:rFonts w:cstheme="minorHAnsi"/>
          <w:lang w:val="en-US"/>
        </w:rPr>
        <w:t>[</w:t>
      </w:r>
      <w:proofErr w:type="spellStart"/>
      <w:r w:rsidRPr="00E33C1F">
        <w:rPr>
          <w:rFonts w:cstheme="minorHAnsi"/>
          <w:i/>
          <w:lang w:val="en-US"/>
        </w:rPr>
        <w:t>texte</w:t>
      </w:r>
      <w:proofErr w:type="spellEnd"/>
      <w:r w:rsidRPr="00E33C1F">
        <w:rPr>
          <w:rFonts w:cstheme="minorHAnsi"/>
          <w:i/>
          <w:lang w:val="en-US"/>
        </w:rPr>
        <w:t xml:space="preserve"> </w:t>
      </w:r>
      <w:proofErr w:type="spellStart"/>
      <w:r w:rsidRPr="00E33C1F">
        <w:rPr>
          <w:rFonts w:cstheme="minorHAnsi"/>
          <w:i/>
          <w:lang w:val="en-US"/>
        </w:rPr>
        <w:t>alternatif</w:t>
      </w:r>
      <w:proofErr w:type="spellEnd"/>
      <w:r w:rsidRPr="00E33C1F">
        <w:rPr>
          <w:rFonts w:cstheme="minorHAnsi"/>
          <w:i/>
          <w:lang w:val="en-US"/>
        </w:rPr>
        <w:t xml:space="preserve"> </w:t>
      </w:r>
      <w:proofErr w:type="spellStart"/>
      <w:r w:rsidRPr="00E33C1F">
        <w:rPr>
          <w:rFonts w:cstheme="minorHAnsi"/>
          <w:i/>
          <w:lang w:val="en-US"/>
        </w:rPr>
        <w:t>en</w:t>
      </w:r>
      <w:proofErr w:type="spellEnd"/>
      <w:r w:rsidRPr="00E33C1F">
        <w:rPr>
          <w:rFonts w:cstheme="minorHAnsi"/>
          <w:i/>
          <w:lang w:val="en-US"/>
        </w:rPr>
        <w:t xml:space="preserve"> </w:t>
      </w:r>
      <w:proofErr w:type="spellStart"/>
      <w:r w:rsidRPr="00E33C1F">
        <w:rPr>
          <w:rFonts w:cstheme="minorHAnsi"/>
          <w:i/>
          <w:lang w:val="en-US"/>
        </w:rPr>
        <w:t>anglais</w:t>
      </w:r>
      <w:proofErr w:type="spellEnd"/>
      <w:r w:rsidRPr="00E33C1F">
        <w:rPr>
          <w:rFonts w:cstheme="minorHAnsi"/>
          <w:lang w:val="en-US"/>
        </w:rPr>
        <w:t xml:space="preserve">: </w:t>
      </w:r>
      <w:proofErr w:type="spellStart"/>
      <w:r w:rsidRPr="00E33C1F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Gargarella</w:t>
      </w:r>
      <w:proofErr w:type="spellEnd"/>
      <w:r w:rsidRPr="00E33C1F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, R. (2015). </w:t>
      </w:r>
      <w:r w:rsidRPr="00EA0E2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Democracy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R</w:t>
      </w:r>
      <w:r w:rsidRPr="00EA0E27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ights in Gelman v. Uruguay. </w:t>
      </w:r>
      <w:r w:rsidRPr="00E33C1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AJIL </w:t>
      </w:r>
      <w:proofErr w:type="spellStart"/>
      <w:r w:rsidRPr="00E33C1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Unbound</w:t>
      </w:r>
      <w:proofErr w:type="spellEnd"/>
      <w:r w:rsidRPr="00E33C1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</w:t>
      </w:r>
      <w:r w:rsidRPr="00E33C1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109</w:t>
      </w:r>
      <w:r w:rsidRPr="00E33C1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115–119. </w:t>
      </w:r>
      <w:hyperlink r:id="rId16" w:history="1">
        <w:r w:rsidRPr="00E33C1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es-AR"/>
          </w:rPr>
          <w:t>https://doi.org/10.1017/S2398772300001276</w:t>
        </w:r>
      </w:hyperlink>
      <w:r w:rsidRPr="00E33C1F">
        <w:rPr>
          <w:rFonts w:ascii="Times New Roman" w:eastAsia="Times New Roman" w:hAnsi="Times New Roman" w:cs="Times New Roman"/>
          <w:sz w:val="24"/>
          <w:szCs w:val="24"/>
          <w:lang w:eastAsia="es-AR"/>
        </w:rPr>
        <w:t>]</w:t>
      </w:r>
    </w:p>
    <w:p w:rsidR="008C77AC" w:rsidRPr="00AE4FA3" w:rsidRDefault="008C77AC" w:rsidP="008C77AC">
      <w:pPr>
        <w:ind w:left="709" w:right="-856" w:hanging="709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Lecture</w:t>
      </w:r>
      <w:r w:rsidR="00297912">
        <w:rPr>
          <w:rFonts w:cstheme="minorHAnsi"/>
          <w:b/>
        </w:rPr>
        <w:t>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recomandée</w:t>
      </w:r>
      <w:r w:rsidR="00297912">
        <w:rPr>
          <w:rFonts w:cstheme="minorHAnsi"/>
          <w:b/>
        </w:rPr>
        <w:t>s</w:t>
      </w:r>
      <w:proofErr w:type="spellEnd"/>
    </w:p>
    <w:p w:rsidR="008C77AC" w:rsidRPr="00A347C8" w:rsidRDefault="008C77AC" w:rsidP="008C77AC">
      <w:pPr>
        <w:ind w:left="709" w:hanging="709"/>
        <w:rPr>
          <w:rFonts w:cstheme="minorHAnsi"/>
        </w:rPr>
      </w:pPr>
      <w:r w:rsidRPr="004D5514">
        <w:rPr>
          <w:rFonts w:cstheme="minorHAnsi"/>
          <w:caps/>
          <w:lang w:val="es-ES"/>
        </w:rPr>
        <w:t>Bardazano</w:t>
      </w:r>
      <w:r w:rsidRPr="0058200C">
        <w:rPr>
          <w:rFonts w:cstheme="minorHAnsi"/>
          <w:lang w:val="es-ES"/>
        </w:rPr>
        <w:t xml:space="preserve">, Gianella: “Los efectos de la ley. Entre la amnistía en la tradición nacional y Núremberg en la conciencia de la humanidad”, en Aldo Marchesi (organizador): </w:t>
      </w:r>
      <w:r w:rsidRPr="0058200C">
        <w:rPr>
          <w:rFonts w:cstheme="minorHAnsi"/>
          <w:i/>
          <w:lang w:val="es-ES"/>
        </w:rPr>
        <w:t xml:space="preserve">Ley de Caducidad. </w:t>
      </w:r>
      <w:r w:rsidRPr="00A347C8">
        <w:rPr>
          <w:rFonts w:cstheme="minorHAnsi"/>
          <w:i/>
        </w:rPr>
        <w:t>Un tema inconcluso</w:t>
      </w:r>
      <w:r w:rsidRPr="00A347C8">
        <w:rPr>
          <w:rFonts w:cstheme="minorHAnsi"/>
        </w:rPr>
        <w:t xml:space="preserve">, Ediciones Trilce, 2013, </w:t>
      </w:r>
      <w:proofErr w:type="spellStart"/>
      <w:r w:rsidRPr="00A347C8">
        <w:rPr>
          <w:rFonts w:cstheme="minorHAnsi"/>
        </w:rPr>
        <w:t>pp</w:t>
      </w:r>
      <w:proofErr w:type="spellEnd"/>
      <w:r w:rsidRPr="00A347C8">
        <w:rPr>
          <w:rFonts w:cstheme="minorHAnsi"/>
        </w:rPr>
        <w:t xml:space="preserve"> 139-189.</w:t>
      </w:r>
    </w:p>
    <w:p w:rsidR="008C77AC" w:rsidRPr="0000474E" w:rsidRDefault="008C77AC" w:rsidP="008C77AC">
      <w:pPr>
        <w:spacing w:after="120" w:line="240" w:lineRule="auto"/>
        <w:jc w:val="both"/>
        <w:rPr>
          <w:rFonts w:cstheme="minorHAnsi"/>
          <w:b/>
        </w:rPr>
      </w:pPr>
      <w:r w:rsidRPr="0000474E">
        <w:rPr>
          <w:rFonts w:cstheme="minorHAnsi"/>
          <w:b/>
        </w:rPr>
        <w:t>Fuente: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URUGUAY</w:t>
      </w:r>
      <w:r w:rsidRPr="00997587">
        <w:rPr>
          <w:rFonts w:cstheme="minorHAnsi"/>
        </w:rPr>
        <w:t>, Corte Suprema de Justicia</w:t>
      </w:r>
      <w:r>
        <w:rPr>
          <w:rFonts w:cstheme="minorHAnsi"/>
        </w:rPr>
        <w:t xml:space="preserve">, Sentencia 20/2013, </w:t>
      </w:r>
      <w:r w:rsidRPr="00EA0E27">
        <w:rPr>
          <w:rFonts w:cstheme="minorHAnsi"/>
        </w:rPr>
        <w:t>AA. BB - DENUNCIA - EXCEPCION DE INCONSTITUCIONALIDAD ARTS 1, 2 Y 3 DE LA LEY NRO. 18.831”, IUE 2–109971/2011</w:t>
      </w:r>
      <w:r>
        <w:rPr>
          <w:rFonts w:cstheme="minorHAnsi"/>
        </w:rPr>
        <w:t>.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</w:rPr>
      </w:pPr>
    </w:p>
    <w:p w:rsidR="008C77AC" w:rsidRPr="005B6036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  <w:sz w:val="24"/>
          <w:szCs w:val="24"/>
          <w:lang w:val="fr-FR"/>
        </w:rPr>
      </w:pPr>
      <w:r w:rsidRPr="005B6036">
        <w:rPr>
          <w:rFonts w:cstheme="minorHAnsi"/>
          <w:b/>
          <w:sz w:val="24"/>
          <w:szCs w:val="24"/>
          <w:lang w:val="fr-FR"/>
        </w:rPr>
        <w:t>Partie 4. Justice restauratrice</w:t>
      </w:r>
      <w:r>
        <w:rPr>
          <w:rFonts w:cstheme="minorHAnsi"/>
          <w:b/>
          <w:sz w:val="24"/>
          <w:szCs w:val="24"/>
          <w:lang w:val="fr-FR"/>
        </w:rPr>
        <w:t>: restaurer</w:t>
      </w:r>
      <w:r w:rsidRPr="005B6036">
        <w:rPr>
          <w:rFonts w:cstheme="minorHAnsi"/>
          <w:b/>
          <w:sz w:val="24"/>
          <w:szCs w:val="24"/>
          <w:lang w:val="fr-FR"/>
        </w:rPr>
        <w:t>, amnistier, réconcilier</w:t>
      </w:r>
    </w:p>
    <w:p w:rsidR="008C77AC" w:rsidRPr="00BC7FDF" w:rsidRDefault="008C77AC" w:rsidP="008C77AC">
      <w:pPr>
        <w:spacing w:after="120" w:line="240" w:lineRule="auto"/>
        <w:jc w:val="both"/>
        <w:rPr>
          <w:rFonts w:cstheme="minorHAnsi"/>
          <w:lang w:val="fr-FR"/>
        </w:rPr>
      </w:pPr>
    </w:p>
    <w:p w:rsidR="008C77AC" w:rsidRPr="005B6036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smallCaps/>
          <w:sz w:val="24"/>
          <w:szCs w:val="24"/>
        </w:rPr>
      </w:pPr>
      <w:proofErr w:type="spellStart"/>
      <w:r w:rsidRPr="005B6036">
        <w:rPr>
          <w:rFonts w:cstheme="minorHAnsi"/>
          <w:b/>
          <w:smallCaps/>
          <w:sz w:val="24"/>
          <w:szCs w:val="24"/>
        </w:rPr>
        <w:t>Séance</w:t>
      </w:r>
      <w:proofErr w:type="spellEnd"/>
      <w:r w:rsidRPr="005B6036">
        <w:rPr>
          <w:rFonts w:cstheme="minorHAnsi"/>
          <w:b/>
          <w:smallCaps/>
          <w:sz w:val="24"/>
          <w:szCs w:val="24"/>
        </w:rPr>
        <w:t xml:space="preserve"> 7</w:t>
      </w:r>
    </w:p>
    <w:p w:rsidR="008C77AC" w:rsidRPr="00D173A6" w:rsidRDefault="008C77AC" w:rsidP="008C77AC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proofErr w:type="spellStart"/>
      <w:r w:rsidRPr="00EA0E27">
        <w:rPr>
          <w:rFonts w:asciiTheme="minorHAnsi" w:hAnsiTheme="minorHAnsi" w:cstheme="minorHAnsi"/>
          <w:b/>
          <w:sz w:val="22"/>
          <w:szCs w:val="22"/>
          <w:lang w:val="es-AR"/>
        </w:rPr>
        <w:lastRenderedPageBreak/>
        <w:t>Lecture</w:t>
      </w:r>
      <w:proofErr w:type="spellEnd"/>
    </w:p>
    <w:p w:rsidR="008C77AC" w:rsidRPr="005B6036" w:rsidRDefault="008C77AC" w:rsidP="008C77AC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COLLINS</w:t>
      </w:r>
      <w:r w:rsidRPr="005B6036">
        <w:rPr>
          <w:rFonts w:asciiTheme="minorHAnsi" w:hAnsiTheme="minorHAnsi" w:cstheme="minorHAnsi"/>
          <w:sz w:val="22"/>
          <w:szCs w:val="22"/>
        </w:rPr>
        <w:t>, C. (2013). Chile a más de dos décadas de justicia de transición. </w:t>
      </w:r>
      <w:r w:rsidRPr="005B6036">
        <w:rPr>
          <w:rStyle w:val="Accentuation"/>
          <w:rFonts w:asciiTheme="minorHAnsi" w:hAnsiTheme="minorHAnsi" w:cstheme="minorHAnsi"/>
          <w:sz w:val="22"/>
          <w:szCs w:val="22"/>
        </w:rPr>
        <w:t>Política. Revista de Ciencia Política, 51</w:t>
      </w:r>
      <w:r w:rsidRPr="005B6036">
        <w:rPr>
          <w:rFonts w:asciiTheme="minorHAnsi" w:hAnsiTheme="minorHAnsi" w:cstheme="minorHAnsi"/>
          <w:sz w:val="22"/>
          <w:szCs w:val="22"/>
        </w:rPr>
        <w:t>(2), pp. 79-113. doi:10.5354/0716-1077.2013.30160.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77AC" w:rsidRPr="00E33C1F" w:rsidRDefault="008C77AC" w:rsidP="008C77AC">
      <w:pPr>
        <w:spacing w:after="120"/>
        <w:ind w:left="709" w:hanging="709"/>
        <w:jc w:val="both"/>
        <w:rPr>
          <w:rFonts w:cstheme="minorHAnsi"/>
          <w:b/>
          <w:bCs/>
        </w:rPr>
      </w:pPr>
      <w:proofErr w:type="spellStart"/>
      <w:r w:rsidRPr="00E33C1F">
        <w:rPr>
          <w:rFonts w:cstheme="minorHAnsi"/>
          <w:b/>
          <w:bCs/>
        </w:rPr>
        <w:t>Lectures</w:t>
      </w:r>
      <w:proofErr w:type="spellEnd"/>
      <w:r w:rsidRPr="00E33C1F">
        <w:rPr>
          <w:rFonts w:cstheme="minorHAnsi"/>
          <w:b/>
          <w:bCs/>
        </w:rPr>
        <w:t xml:space="preserve"> </w:t>
      </w:r>
      <w:proofErr w:type="spellStart"/>
      <w:r w:rsidRPr="00E33C1F">
        <w:rPr>
          <w:rFonts w:cstheme="minorHAnsi"/>
          <w:b/>
          <w:bCs/>
        </w:rPr>
        <w:t>recomandées</w:t>
      </w:r>
      <w:proofErr w:type="spellEnd"/>
    </w:p>
    <w:p w:rsidR="008C77AC" w:rsidRPr="00E37DBA" w:rsidRDefault="008C77AC" w:rsidP="008C77AC">
      <w:pPr>
        <w:spacing w:after="120"/>
        <w:ind w:left="709" w:hanging="709"/>
        <w:jc w:val="both"/>
        <w:rPr>
          <w:rFonts w:cstheme="minorHAnsi"/>
          <w:bCs/>
          <w:lang w:val="en-US"/>
        </w:rPr>
      </w:pPr>
      <w:r w:rsidRPr="00E33C1F">
        <w:rPr>
          <w:rFonts w:cstheme="minorHAnsi"/>
          <w:bCs/>
        </w:rPr>
        <w:t>MALAMUD GOTI, Jaime. (</w:t>
      </w:r>
      <w:r w:rsidRPr="00E37DBA">
        <w:rPr>
          <w:rFonts w:cstheme="minorHAnsi"/>
          <w:bCs/>
          <w:lang w:val="es-ES"/>
        </w:rPr>
        <w:t xml:space="preserve">2016). </w:t>
      </w:r>
      <w:r w:rsidRPr="00E37DBA">
        <w:rPr>
          <w:rFonts w:cstheme="minorHAnsi"/>
          <w:lang w:val="es-ES"/>
        </w:rPr>
        <w:t xml:space="preserve">“Los dilemas morales de juzgar a Pinochet en España”, </w:t>
      </w:r>
      <w:r w:rsidRPr="00E37DBA">
        <w:rPr>
          <w:rFonts w:cstheme="minorHAnsi"/>
          <w:bCs/>
          <w:i/>
          <w:lang w:val="es-ES"/>
        </w:rPr>
        <w:t xml:space="preserve">Crímenes de Estado. </w:t>
      </w:r>
      <w:proofErr w:type="spellStart"/>
      <w:r w:rsidRPr="00E37DBA">
        <w:rPr>
          <w:rFonts w:cstheme="minorHAnsi"/>
          <w:bCs/>
          <w:i/>
          <w:lang w:val="en-US"/>
        </w:rPr>
        <w:t>Dilemas</w:t>
      </w:r>
      <w:proofErr w:type="spellEnd"/>
      <w:r w:rsidRPr="00E37DBA">
        <w:rPr>
          <w:rFonts w:cstheme="minorHAnsi"/>
          <w:bCs/>
          <w:i/>
          <w:lang w:val="en-US"/>
        </w:rPr>
        <w:t xml:space="preserve"> de la Justicia.</w:t>
      </w:r>
      <w:r w:rsidRPr="00E37DBA">
        <w:rPr>
          <w:rFonts w:cstheme="minorHAnsi"/>
          <w:bCs/>
          <w:lang w:val="en-US"/>
        </w:rPr>
        <w:t xml:space="preserve"> Buenos Aires: Hammurabi., pp. 55-76.</w:t>
      </w:r>
    </w:p>
    <w:p w:rsidR="008C77AC" w:rsidRPr="00E37DBA" w:rsidRDefault="008C77AC" w:rsidP="008C77AC">
      <w:pPr>
        <w:spacing w:after="120"/>
        <w:ind w:left="709" w:hanging="709"/>
        <w:jc w:val="both"/>
        <w:rPr>
          <w:rFonts w:cstheme="minorHAnsi"/>
          <w:bCs/>
          <w:lang w:val="es-ES"/>
        </w:rPr>
      </w:pPr>
      <w:r w:rsidRPr="00E37DBA">
        <w:rPr>
          <w:rFonts w:cstheme="minorHAnsi"/>
          <w:bCs/>
          <w:caps/>
          <w:lang w:val="en-US"/>
        </w:rPr>
        <w:t>Malamud Goti</w:t>
      </w:r>
      <w:r w:rsidRPr="00E37DBA">
        <w:rPr>
          <w:rFonts w:cstheme="minorHAnsi"/>
          <w:bCs/>
          <w:lang w:val="en-US"/>
        </w:rPr>
        <w:t>, Jaime (2008), “State Criminals and the Limits of Extra-</w:t>
      </w:r>
      <w:proofErr w:type="spellStart"/>
      <w:r w:rsidRPr="00E37DBA">
        <w:rPr>
          <w:rFonts w:cstheme="minorHAnsi"/>
          <w:bCs/>
          <w:lang w:val="en-US"/>
        </w:rPr>
        <w:t>Comunitarian</w:t>
      </w:r>
      <w:proofErr w:type="spellEnd"/>
      <w:r w:rsidRPr="00E37DBA">
        <w:rPr>
          <w:rFonts w:cstheme="minorHAnsi"/>
          <w:bCs/>
          <w:lang w:val="en-US"/>
        </w:rPr>
        <w:t xml:space="preserve"> Justice”, </w:t>
      </w:r>
      <w:r w:rsidRPr="00E37DBA">
        <w:rPr>
          <w:rFonts w:cstheme="minorHAnsi"/>
          <w:bCs/>
          <w:i/>
          <w:lang w:val="en-US"/>
        </w:rPr>
        <w:t>New Criminal Law Review</w:t>
      </w:r>
      <w:r w:rsidRPr="00E37DBA">
        <w:rPr>
          <w:rFonts w:cstheme="minorHAnsi"/>
          <w:bCs/>
          <w:lang w:val="en-US"/>
        </w:rPr>
        <w:t xml:space="preserve">, vol. 11, n° 4, Fall 2008, p. 505. </w:t>
      </w:r>
      <w:r w:rsidRPr="00E37DBA">
        <w:rPr>
          <w:rFonts w:cstheme="minorHAnsi"/>
          <w:bCs/>
        </w:rPr>
        <w:t>[</w:t>
      </w:r>
      <w:proofErr w:type="spellStart"/>
      <w:r w:rsidRPr="00E37DBA">
        <w:rPr>
          <w:rFonts w:cstheme="minorHAnsi"/>
          <w:bCs/>
        </w:rPr>
        <w:t>Edition</w:t>
      </w:r>
      <w:proofErr w:type="spellEnd"/>
      <w:r w:rsidRPr="00E37DBA">
        <w:rPr>
          <w:rFonts w:cstheme="minorHAnsi"/>
          <w:bCs/>
        </w:rPr>
        <w:t xml:space="preserve"> en </w:t>
      </w:r>
      <w:proofErr w:type="spellStart"/>
      <w:r w:rsidRPr="00E37DBA">
        <w:rPr>
          <w:rFonts w:cstheme="minorHAnsi"/>
          <w:bCs/>
        </w:rPr>
        <w:t>espgnol</w:t>
      </w:r>
      <w:proofErr w:type="spellEnd"/>
      <w:r w:rsidRPr="00E37DBA">
        <w:rPr>
          <w:rFonts w:cstheme="minorHAnsi"/>
          <w:bCs/>
        </w:rPr>
        <w:t xml:space="preserve">: </w:t>
      </w:r>
      <w:r w:rsidRPr="00E37DBA">
        <w:rPr>
          <w:rFonts w:cstheme="minorHAnsi"/>
          <w:bCs/>
          <w:i/>
          <w:lang w:val="es-ES"/>
        </w:rPr>
        <w:t>Crímenes de Estado. Dilemas de la Justicia.</w:t>
      </w:r>
      <w:r w:rsidRPr="00E37DBA">
        <w:rPr>
          <w:rFonts w:cstheme="minorHAnsi"/>
          <w:bCs/>
          <w:lang w:val="es-ES"/>
        </w:rPr>
        <w:t xml:space="preserve"> Buenos Aires: Hammurabi, 2016. Cap. 2. “Los criminales de Estado y los de la justicia penal ‘de afuera’ de la comunidad”, pp. 33-54.]</w:t>
      </w:r>
    </w:p>
    <w:p w:rsidR="008C77AC" w:rsidRDefault="008C77AC" w:rsidP="008C77AC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cstheme="minorHAnsi"/>
        </w:rPr>
      </w:pPr>
      <w:r w:rsidRPr="00E37DBA">
        <w:rPr>
          <w:rFonts w:asciiTheme="minorHAnsi" w:hAnsiTheme="minorHAnsi" w:cstheme="minorHAnsi"/>
          <w:caps/>
          <w:sz w:val="22"/>
          <w:szCs w:val="22"/>
        </w:rPr>
        <w:t>Zalaquett</w:t>
      </w:r>
      <w:r w:rsidRPr="00E37DBA">
        <w:rPr>
          <w:rFonts w:asciiTheme="minorHAnsi" w:hAnsiTheme="minorHAnsi" w:cstheme="minorHAnsi"/>
          <w:sz w:val="22"/>
          <w:szCs w:val="22"/>
        </w:rPr>
        <w:t xml:space="preserve">, José (2000), La mesa de diálogo sobre derechos humanos y el proceso de transición política en Chile, </w:t>
      </w:r>
      <w:hyperlink r:id="rId17" w:history="1">
        <w:r w:rsidRPr="00E37DBA">
          <w:rPr>
            <w:rStyle w:val="Lienhypertexte"/>
            <w:rFonts w:asciiTheme="minorHAnsi" w:hAnsiTheme="minorHAnsi" w:cstheme="minorHAnsi"/>
            <w:sz w:val="22"/>
            <w:szCs w:val="22"/>
          </w:rPr>
          <w:t>https://www.indh.cl/wp-content/uploads/2010/10/Mesa_de-Dialogo_CEP2000.pdf</w:t>
        </w:r>
      </w:hyperlink>
      <w:r>
        <w:rPr>
          <w:rFonts w:cstheme="minorHAnsi"/>
        </w:rPr>
        <w:t xml:space="preserve"> </w:t>
      </w:r>
    </w:p>
    <w:p w:rsidR="008C77AC" w:rsidRPr="009F4E5B" w:rsidRDefault="008C77AC" w:rsidP="008C77AC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cstheme="minorHAnsi"/>
        </w:rPr>
      </w:pPr>
    </w:p>
    <w:p w:rsidR="008C77AC" w:rsidRPr="005B6036" w:rsidRDefault="008C77AC" w:rsidP="008C77AC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b/>
          <w:smallCaps/>
          <w:sz w:val="22"/>
          <w:szCs w:val="22"/>
          <w:lang w:val="fr-FR"/>
        </w:rPr>
      </w:pPr>
      <w:r w:rsidRPr="005B6036">
        <w:rPr>
          <w:rFonts w:asciiTheme="minorHAnsi" w:hAnsiTheme="minorHAnsi" w:cstheme="minorHAnsi"/>
          <w:b/>
          <w:smallCaps/>
          <w:lang w:val="fr-FR"/>
        </w:rPr>
        <w:t>Séance 8</w:t>
      </w:r>
    </w:p>
    <w:p w:rsidR="008C77AC" w:rsidRPr="00B749F7" w:rsidRDefault="008C77AC" w:rsidP="008C77AC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Lecture</w:t>
      </w:r>
    </w:p>
    <w:p w:rsidR="008C77AC" w:rsidRPr="00BC7FDF" w:rsidRDefault="008C77AC" w:rsidP="00BC7FDF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5B6036">
        <w:rPr>
          <w:rFonts w:asciiTheme="minorHAnsi" w:hAnsiTheme="minorHAnsi" w:cstheme="minorHAnsi"/>
          <w:caps/>
          <w:sz w:val="22"/>
          <w:szCs w:val="22"/>
          <w:lang w:val="fr-FR"/>
        </w:rPr>
        <w:t>Cassin</w:t>
      </w:r>
      <w:r w:rsidRPr="00C07849">
        <w:rPr>
          <w:rFonts w:asciiTheme="minorHAnsi" w:hAnsiTheme="minorHAnsi" w:cstheme="minorHAnsi"/>
          <w:sz w:val="22"/>
          <w:szCs w:val="22"/>
          <w:lang w:val="fr-FR"/>
        </w:rPr>
        <w:t>, Barbara</w:t>
      </w:r>
      <w:r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C07849">
        <w:rPr>
          <w:rFonts w:asciiTheme="minorHAnsi" w:hAnsiTheme="minorHAnsi" w:cstheme="minorHAnsi"/>
          <w:sz w:val="22"/>
          <w:szCs w:val="22"/>
          <w:lang w:val="fr-FR"/>
        </w:rPr>
        <w:t xml:space="preserve"> Olivier Cayla et Philippe-Joseph Salazar, « Présentation. </w:t>
      </w:r>
      <w:r w:rsidRPr="0000474E">
        <w:rPr>
          <w:rFonts w:asciiTheme="minorHAnsi" w:hAnsiTheme="minorHAnsi" w:cstheme="minorHAnsi"/>
          <w:sz w:val="22"/>
          <w:szCs w:val="22"/>
          <w:lang w:val="fr-FR"/>
        </w:rPr>
        <w:t>Dire la vérité, faire la réconciliation, manquer la réparation »</w:t>
      </w:r>
      <w:r w:rsidRPr="0000474E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 xml:space="preserve"> Vérité, Réconciliation, Réparation </w:t>
      </w:r>
      <w:r w:rsidRPr="0000474E">
        <w:rPr>
          <w:rFonts w:asciiTheme="minorHAnsi" w:hAnsiTheme="minorHAnsi" w:cstheme="minorHAnsi"/>
          <w:bCs/>
          <w:sz w:val="22"/>
          <w:szCs w:val="22"/>
          <w:lang w:val="fr-FR"/>
        </w:rPr>
        <w:t>(2004), Cassin, Barbara, Olivier Cayla et Philippe-Joseph Salazar (</w:t>
      </w:r>
      <w:proofErr w:type="spellStart"/>
      <w:r w:rsidRPr="0000474E">
        <w:rPr>
          <w:rFonts w:asciiTheme="minorHAnsi" w:hAnsiTheme="minorHAnsi" w:cstheme="minorHAnsi"/>
          <w:bCs/>
          <w:sz w:val="22"/>
          <w:szCs w:val="22"/>
          <w:lang w:val="fr-FR"/>
        </w:rPr>
        <w:t>dir</w:t>
      </w:r>
      <w:proofErr w:type="spellEnd"/>
      <w:r w:rsidRPr="000047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.), </w:t>
      </w:r>
      <w:r w:rsidRPr="0000474E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Le genre humain</w:t>
      </w:r>
      <w:r w:rsidRPr="0000474E">
        <w:rPr>
          <w:rFonts w:asciiTheme="minorHAnsi" w:hAnsiTheme="minorHAnsi" w:cstheme="minorHAnsi"/>
          <w:bCs/>
          <w:sz w:val="22"/>
          <w:szCs w:val="22"/>
          <w:lang w:val="fr-FR"/>
        </w:rPr>
        <w:t>,</w:t>
      </w:r>
      <w:r w:rsidRPr="0000474E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 </w:t>
      </w:r>
      <w:r w:rsidRPr="000047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No. 43, </w:t>
      </w:r>
      <w:r w:rsidRPr="00BC7FDF">
        <w:rPr>
          <w:rFonts w:asciiTheme="minorHAnsi" w:hAnsiTheme="minorHAnsi" w:cstheme="minorHAnsi"/>
          <w:bCs/>
          <w:sz w:val="22"/>
          <w:szCs w:val="22"/>
          <w:lang w:val="fr-FR"/>
        </w:rPr>
        <w:t>Novembre 2004, éd Seuil, Paris.</w:t>
      </w:r>
    </w:p>
    <w:p w:rsidR="008C77AC" w:rsidRPr="00BC7FDF" w:rsidRDefault="008C77AC" w:rsidP="00BC7FDF">
      <w:pPr>
        <w:pStyle w:val="Titre1"/>
        <w:shd w:val="clear" w:color="auto" w:fill="FFFFFF"/>
        <w:ind w:left="709" w:hanging="709"/>
        <w:jc w:val="both"/>
        <w:textAlignment w:val="baseline"/>
        <w:rPr>
          <w:rStyle w:val="uppercase"/>
          <w:rFonts w:asciiTheme="minorHAnsi" w:hAnsiTheme="minorHAnsi" w:cstheme="minorHAnsi"/>
          <w:color w:val="323232"/>
          <w:sz w:val="22"/>
          <w:szCs w:val="22"/>
          <w:shd w:val="clear" w:color="auto" w:fill="FFFFFF"/>
          <w:lang w:val="fr-FR"/>
        </w:rPr>
      </w:pPr>
      <w:r w:rsidRPr="00BC7FDF">
        <w:rPr>
          <w:rStyle w:val="uppercase"/>
          <w:rFonts w:asciiTheme="minorHAnsi" w:hAnsiTheme="minorHAnsi" w:cstheme="minorHAnsi"/>
          <w:color w:val="323232"/>
          <w:sz w:val="22"/>
          <w:szCs w:val="22"/>
          <w:shd w:val="clear" w:color="auto" w:fill="FFFFFF"/>
          <w:lang w:val="fr-FR"/>
        </w:rPr>
        <w:t>Lecture pour le débat</w:t>
      </w:r>
    </w:p>
    <w:p w:rsidR="008C77AC" w:rsidRPr="00BC7FDF" w:rsidRDefault="008C77AC" w:rsidP="00BC7FDF">
      <w:pPr>
        <w:pStyle w:val="Titre1"/>
        <w:shd w:val="clear" w:color="auto" w:fill="FFFFFF"/>
        <w:ind w:left="709" w:hanging="709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BC7FDF">
        <w:rPr>
          <w:rStyle w:val="uppercase"/>
          <w:rFonts w:asciiTheme="minorHAnsi" w:hAnsiTheme="minorHAnsi" w:cstheme="minorHAnsi"/>
          <w:b w:val="0"/>
          <w:caps/>
          <w:color w:val="323232"/>
          <w:sz w:val="22"/>
          <w:szCs w:val="22"/>
          <w:shd w:val="clear" w:color="auto" w:fill="FFFFFF"/>
          <w:lang w:val="fr-FR"/>
        </w:rPr>
        <w:t>du Toit</w:t>
      </w:r>
      <w:r w:rsidRPr="00BC7FDF">
        <w:rPr>
          <w:rFonts w:asciiTheme="minorHAnsi" w:hAnsiTheme="minorHAnsi" w:cstheme="minorHAnsi"/>
          <w:b w:val="0"/>
          <w:caps/>
          <w:color w:val="323232"/>
          <w:sz w:val="22"/>
          <w:szCs w:val="22"/>
          <w:shd w:val="clear" w:color="auto" w:fill="FFFFFF"/>
          <w:lang w:val="fr-FR"/>
        </w:rPr>
        <w:t>,</w:t>
      </w:r>
      <w:r w:rsidRPr="00BC7FDF">
        <w:rPr>
          <w:rFonts w:asciiTheme="minorHAnsi" w:hAnsiTheme="minorHAnsi" w:cstheme="minorHAnsi"/>
          <w:b w:val="0"/>
          <w:color w:val="323232"/>
          <w:sz w:val="22"/>
          <w:szCs w:val="22"/>
          <w:shd w:val="clear" w:color="auto" w:fill="FFFFFF"/>
          <w:lang w:val="fr-FR"/>
        </w:rPr>
        <w:t xml:space="preserve"> A. (2003). « La commission Vérité et Réconciliation sud-africaine: Histoire locale et responsabilité face au monde », </w:t>
      </w:r>
      <w:r w:rsidRPr="00BC7FDF">
        <w:rPr>
          <w:rFonts w:asciiTheme="minorHAnsi" w:hAnsiTheme="minorHAnsi" w:cstheme="minorHAnsi"/>
          <w:b w:val="0"/>
          <w:i/>
          <w:iCs/>
          <w:color w:val="323232"/>
          <w:sz w:val="22"/>
          <w:szCs w:val="22"/>
          <w:shd w:val="clear" w:color="auto" w:fill="FFFFFF"/>
          <w:lang w:val="fr-FR"/>
        </w:rPr>
        <w:t>Politique africaine</w:t>
      </w:r>
      <w:r w:rsidRPr="00BC7FDF">
        <w:rPr>
          <w:rFonts w:asciiTheme="minorHAnsi" w:hAnsiTheme="minorHAnsi" w:cstheme="minorHAnsi"/>
          <w:b w:val="0"/>
          <w:color w:val="323232"/>
          <w:sz w:val="22"/>
          <w:szCs w:val="22"/>
          <w:shd w:val="clear" w:color="auto" w:fill="FFFFFF"/>
          <w:lang w:val="fr-FR"/>
        </w:rPr>
        <w:t xml:space="preserve">, 92, 97-116. </w:t>
      </w:r>
      <w:hyperlink r:id="rId18" w:history="1">
        <w:r w:rsidRPr="00BC7FDF">
          <w:rPr>
            <w:rStyle w:val="Lienhypertexte"/>
            <w:rFonts w:asciiTheme="minorHAnsi" w:hAnsiTheme="minorHAnsi" w:cstheme="minorHAnsi"/>
            <w:b w:val="0"/>
            <w:sz w:val="22"/>
            <w:szCs w:val="22"/>
            <w:shd w:val="clear" w:color="auto" w:fill="FFFFFF"/>
            <w:lang w:val="en-US"/>
          </w:rPr>
          <w:t>https://doi.org/10.3917/polaf.092.0097</w:t>
        </w:r>
      </w:hyperlink>
    </w:p>
    <w:p w:rsidR="008C77AC" w:rsidRPr="00BC7FDF" w:rsidRDefault="008C77AC" w:rsidP="00BC7FDF">
      <w:pPr>
        <w:spacing w:after="120" w:line="240" w:lineRule="auto"/>
        <w:ind w:left="709" w:hanging="709"/>
        <w:jc w:val="both"/>
        <w:rPr>
          <w:rFonts w:cstheme="minorHAnsi"/>
          <w:b/>
          <w:bCs/>
          <w:lang w:val="en-US"/>
        </w:rPr>
      </w:pPr>
      <w:r w:rsidRPr="00BC7FDF">
        <w:rPr>
          <w:rFonts w:cstheme="minorHAnsi"/>
          <w:b/>
          <w:bCs/>
          <w:lang w:val="en-US"/>
        </w:rPr>
        <w:t xml:space="preserve">Lectures </w:t>
      </w:r>
      <w:proofErr w:type="spellStart"/>
      <w:r w:rsidRPr="00BC7FDF">
        <w:rPr>
          <w:rFonts w:cstheme="minorHAnsi"/>
          <w:b/>
          <w:bCs/>
          <w:lang w:val="en-US"/>
        </w:rPr>
        <w:t>recommandées</w:t>
      </w:r>
      <w:proofErr w:type="spellEnd"/>
    </w:p>
    <w:p w:rsidR="00DD628F" w:rsidRPr="00BC7FDF" w:rsidRDefault="008C77AC" w:rsidP="00BC7FDF">
      <w:pPr>
        <w:spacing w:after="120" w:line="240" w:lineRule="auto"/>
        <w:ind w:left="709" w:hanging="709"/>
        <w:jc w:val="both"/>
        <w:rPr>
          <w:rFonts w:cstheme="minorHAnsi"/>
          <w:lang w:val="en-US"/>
        </w:rPr>
      </w:pPr>
      <w:r w:rsidRPr="00BC7FDF">
        <w:rPr>
          <w:rFonts w:cstheme="minorHAnsi"/>
          <w:lang w:val="en-US"/>
        </w:rPr>
        <w:t xml:space="preserve">KROG, </w:t>
      </w:r>
      <w:proofErr w:type="spellStart"/>
      <w:r w:rsidRPr="00BC7FDF">
        <w:rPr>
          <w:rFonts w:cstheme="minorHAnsi"/>
          <w:lang w:val="en-US"/>
        </w:rPr>
        <w:t>Antjie</w:t>
      </w:r>
      <w:proofErr w:type="spellEnd"/>
      <w:r w:rsidRPr="00BC7FDF">
        <w:rPr>
          <w:rFonts w:cstheme="minorHAnsi"/>
          <w:lang w:val="en-US"/>
        </w:rPr>
        <w:t xml:space="preserve"> (2000), </w:t>
      </w:r>
      <w:r w:rsidRPr="00BC7FDF">
        <w:rPr>
          <w:rFonts w:cstheme="minorHAnsi"/>
          <w:i/>
          <w:lang w:val="en-US"/>
        </w:rPr>
        <w:t>Country of My Skull</w:t>
      </w:r>
      <w:r w:rsidRPr="00BC7FDF">
        <w:rPr>
          <w:rFonts w:cstheme="minorHAnsi"/>
          <w:lang w:val="en-US"/>
        </w:rPr>
        <w:t>, Random House [selection].</w:t>
      </w:r>
    </w:p>
    <w:p w:rsidR="00DD628F" w:rsidRDefault="008C77AC" w:rsidP="00DD628F">
      <w:pPr>
        <w:spacing w:after="120" w:line="240" w:lineRule="auto"/>
        <w:ind w:left="709" w:hanging="709"/>
        <w:jc w:val="both"/>
        <w:rPr>
          <w:rFonts w:cstheme="minorHAnsi"/>
        </w:rPr>
      </w:pPr>
      <w:r w:rsidRPr="00B749F7">
        <w:rPr>
          <w:rFonts w:cstheme="minorHAnsi"/>
          <w:caps/>
        </w:rPr>
        <w:t>Martín</w:t>
      </w:r>
      <w:r>
        <w:rPr>
          <w:rFonts w:cstheme="minorHAnsi"/>
        </w:rPr>
        <w:t>, L.,</w:t>
      </w:r>
      <w:r w:rsidRPr="00E72C00">
        <w:rPr>
          <w:rFonts w:cstheme="minorHAnsi"/>
        </w:rPr>
        <w:t xml:space="preserve"> “Sudáfrica y la importancia de mejorar los argumentos para un debate público”,</w:t>
      </w:r>
      <w:r w:rsidRPr="00BA114E">
        <w:rPr>
          <w:rFonts w:cstheme="minorHAnsi"/>
        </w:rPr>
        <w:t xml:space="preserve"> </w:t>
      </w:r>
      <w:proofErr w:type="spellStart"/>
      <w:r w:rsidRPr="00BA114E">
        <w:rPr>
          <w:rFonts w:cstheme="minorHAnsi"/>
          <w:i/>
        </w:rPr>
        <w:t>POSTData</w:t>
      </w:r>
      <w:proofErr w:type="spellEnd"/>
      <w:r w:rsidRPr="00BA114E">
        <w:rPr>
          <w:rFonts w:cstheme="minorHAnsi"/>
        </w:rPr>
        <w:t xml:space="preserve">, </w:t>
      </w:r>
      <w:proofErr w:type="spellStart"/>
      <w:r w:rsidRPr="00BA114E">
        <w:rPr>
          <w:rFonts w:cstheme="minorHAnsi"/>
        </w:rPr>
        <w:t>vol</w:t>
      </w:r>
      <w:proofErr w:type="spellEnd"/>
      <w:r w:rsidRPr="00BA114E">
        <w:rPr>
          <w:rFonts w:cstheme="minorHAnsi"/>
        </w:rPr>
        <w:t xml:space="preserve"> 23, </w:t>
      </w:r>
      <w:proofErr w:type="spellStart"/>
      <w:r w:rsidRPr="00BA114E">
        <w:rPr>
          <w:rFonts w:cstheme="minorHAnsi"/>
        </w:rPr>
        <w:t>N°</w:t>
      </w:r>
      <w:proofErr w:type="spellEnd"/>
      <w:r w:rsidRPr="00BA114E">
        <w:rPr>
          <w:rFonts w:cstheme="minorHAnsi"/>
        </w:rPr>
        <w:t xml:space="preserve"> 2 (octubre 2018), pp. 529-545, </w:t>
      </w:r>
      <w:hyperlink r:id="rId19" w:history="1">
        <w:r w:rsidRPr="00BA114E">
          <w:rPr>
            <w:rStyle w:val="Lienhypertexte"/>
            <w:rFonts w:cstheme="minorHAnsi"/>
          </w:rPr>
          <w:t>http://www.revistapostdata.com.ar/v2/wp-content/uploads/2018/05/postdata-23-2-Mart%C3%ADn.pdf</w:t>
        </w:r>
      </w:hyperlink>
      <w:r w:rsidRPr="00BA114E">
        <w:rPr>
          <w:rFonts w:cstheme="minorHAnsi"/>
        </w:rPr>
        <w:t xml:space="preserve">. </w:t>
      </w:r>
    </w:p>
    <w:p w:rsidR="00DD628F" w:rsidRDefault="008C77AC" w:rsidP="00DD628F">
      <w:pPr>
        <w:spacing w:after="120" w:line="240" w:lineRule="auto"/>
        <w:ind w:left="709" w:hanging="709"/>
        <w:jc w:val="both"/>
        <w:rPr>
          <w:rFonts w:cstheme="minorHAnsi"/>
          <w:lang w:val="fr-FR"/>
        </w:rPr>
      </w:pPr>
      <w:r w:rsidRPr="00B749F7">
        <w:rPr>
          <w:rFonts w:cstheme="minorHAnsi"/>
          <w:caps/>
          <w:lang w:val="fr-FR"/>
        </w:rPr>
        <w:t>Philippe</w:t>
      </w:r>
      <w:r w:rsidRPr="00AF2605">
        <w:rPr>
          <w:rFonts w:cstheme="minorHAnsi"/>
          <w:lang w:val="fr-FR"/>
        </w:rPr>
        <w:t>, Xavier, « Commission Vérité et Réconciliation et droit constitutionnel », in</w:t>
      </w:r>
      <w:r w:rsidRPr="00AF2605">
        <w:rPr>
          <w:rFonts w:cstheme="minorHAnsi"/>
          <w:i/>
          <w:iCs/>
          <w:lang w:val="fr-FR"/>
        </w:rPr>
        <w:t xml:space="preserve"> Vérité, Réconciliation, Réparation </w:t>
      </w:r>
      <w:r w:rsidRPr="00AF2605">
        <w:rPr>
          <w:rFonts w:cstheme="minorHAnsi"/>
          <w:lang w:val="fr-FR"/>
        </w:rPr>
        <w:t>(2004), Cassin, Barbara, Olivier Cayla et Philippe-Joseph Salazar (</w:t>
      </w:r>
      <w:proofErr w:type="spellStart"/>
      <w:r w:rsidRPr="00AF2605">
        <w:rPr>
          <w:rFonts w:cstheme="minorHAnsi"/>
          <w:lang w:val="fr-FR"/>
        </w:rPr>
        <w:t>dir</w:t>
      </w:r>
      <w:proofErr w:type="spellEnd"/>
      <w:r w:rsidRPr="00AF2605">
        <w:rPr>
          <w:rFonts w:cstheme="minorHAnsi"/>
          <w:lang w:val="fr-FR"/>
        </w:rPr>
        <w:t xml:space="preserve">.), </w:t>
      </w:r>
      <w:r w:rsidRPr="00AF2605">
        <w:rPr>
          <w:rFonts w:cstheme="minorHAnsi"/>
          <w:i/>
          <w:iCs/>
          <w:lang w:val="fr-FR"/>
        </w:rPr>
        <w:t>Le genre humain</w:t>
      </w:r>
      <w:r w:rsidRPr="00AF2605">
        <w:rPr>
          <w:rFonts w:cstheme="minorHAnsi"/>
          <w:lang w:val="fr-FR"/>
        </w:rPr>
        <w:t>,</w:t>
      </w:r>
      <w:r w:rsidRPr="00AF2605">
        <w:rPr>
          <w:rFonts w:cstheme="minorHAnsi"/>
          <w:i/>
          <w:iCs/>
          <w:lang w:val="fr-FR"/>
        </w:rPr>
        <w:t> </w:t>
      </w:r>
      <w:r w:rsidRPr="00AF2605">
        <w:rPr>
          <w:rFonts w:cstheme="minorHAnsi"/>
          <w:lang w:val="fr-FR"/>
        </w:rPr>
        <w:t>No. 43, Novembre 2004, éd Seuil, Paris, pp. 219-241.</w:t>
      </w:r>
    </w:p>
    <w:p w:rsidR="008C77AC" w:rsidRDefault="008C77AC" w:rsidP="00DD628F">
      <w:pPr>
        <w:spacing w:after="120" w:line="240" w:lineRule="auto"/>
        <w:ind w:left="709" w:hanging="709"/>
        <w:jc w:val="both"/>
        <w:rPr>
          <w:rFonts w:cstheme="minorHAnsi"/>
          <w:b/>
          <w:bCs/>
          <w:lang w:val="fr-FR"/>
        </w:rPr>
      </w:pPr>
      <w:r w:rsidRPr="00B749F7">
        <w:rPr>
          <w:rFonts w:cstheme="minorHAnsi"/>
          <w:caps/>
          <w:lang w:val="fr-FR"/>
        </w:rPr>
        <w:t>Salazar</w:t>
      </w:r>
      <w:r w:rsidRPr="00524879">
        <w:rPr>
          <w:rFonts w:cstheme="minorHAnsi"/>
          <w:lang w:val="fr-FR"/>
        </w:rPr>
        <w:t xml:space="preserve">, Philippe-Joseph (2004) : </w:t>
      </w:r>
      <w:r w:rsidRPr="00524879">
        <w:rPr>
          <w:rFonts w:cstheme="minorHAnsi"/>
          <w:i/>
          <w:iCs/>
          <w:lang w:val="fr-FR"/>
        </w:rPr>
        <w:t>Amnistier l’apartheid. Travaux de la Commission Vérité et Réconciliation</w:t>
      </w:r>
      <w:r w:rsidRPr="00524879">
        <w:rPr>
          <w:rFonts w:cstheme="minorHAnsi"/>
          <w:lang w:val="fr-FR"/>
        </w:rPr>
        <w:t>, sous la direction de Desmond Tutu, traduction par Sylvie Courtine-</w:t>
      </w:r>
      <w:proofErr w:type="spellStart"/>
      <w:r w:rsidRPr="00524879">
        <w:rPr>
          <w:rFonts w:cstheme="minorHAnsi"/>
          <w:lang w:val="fr-FR"/>
        </w:rPr>
        <w:t>Denamy</w:t>
      </w:r>
      <w:proofErr w:type="spellEnd"/>
      <w:r w:rsidRPr="00524879">
        <w:rPr>
          <w:rFonts w:cstheme="minorHAnsi"/>
          <w:lang w:val="fr-FR"/>
        </w:rPr>
        <w:t>, Charlotte Girard, Philippe Joseph-Salazar, éditions du Seuil, 2004, Paris.</w:t>
      </w:r>
    </w:p>
    <w:p w:rsidR="008C77AC" w:rsidRPr="00E33C1F" w:rsidRDefault="008C77AC" w:rsidP="008C77AC">
      <w:pPr>
        <w:spacing w:after="120" w:line="240" w:lineRule="auto"/>
        <w:ind w:left="709" w:hanging="709"/>
        <w:rPr>
          <w:lang w:val="en-US"/>
        </w:rPr>
      </w:pPr>
      <w:r w:rsidRPr="00B749F7">
        <w:rPr>
          <w:rStyle w:val="uppercase"/>
          <w:rFonts w:cstheme="minorHAnsi"/>
          <w:b/>
          <w:caps/>
          <w:color w:val="323232"/>
          <w:shd w:val="clear" w:color="auto" w:fill="FFFFFF"/>
          <w:lang w:val="fr-FR"/>
        </w:rPr>
        <w:t>Vally</w:t>
      </w:r>
      <w:r w:rsidRPr="00617F39">
        <w:rPr>
          <w:shd w:val="clear" w:color="auto" w:fill="FFFFFF"/>
          <w:lang w:val="fr-FR"/>
        </w:rPr>
        <w:t xml:space="preserve">, </w:t>
      </w:r>
      <w:r w:rsidRPr="00D173A6">
        <w:rPr>
          <w:lang w:val="fr-FR"/>
        </w:rPr>
        <w:t>H. (2008). La paix avec la justice : l'amnistie en Afrique du Sud. </w:t>
      </w:r>
      <w:proofErr w:type="spellStart"/>
      <w:r w:rsidRPr="00E33C1F">
        <w:rPr>
          <w:lang w:val="en-US"/>
        </w:rPr>
        <w:t>Mouvements</w:t>
      </w:r>
      <w:proofErr w:type="spellEnd"/>
      <w:r w:rsidRPr="00E33C1F">
        <w:rPr>
          <w:lang w:val="en-US"/>
        </w:rPr>
        <w:t>, 53, 102-109. </w:t>
      </w:r>
      <w:hyperlink r:id="rId20" w:history="1">
        <w:r w:rsidRPr="00E33C1F">
          <w:rPr>
            <w:rStyle w:val="Lienhypertexte"/>
            <w:rFonts w:cstheme="minorHAnsi"/>
            <w:shd w:val="clear" w:color="auto" w:fill="FFFFFF"/>
            <w:lang w:val="en-US"/>
          </w:rPr>
          <w:t>https://doi.org/10.3917/mouv.053.0102</w:t>
        </w:r>
      </w:hyperlink>
    </w:p>
    <w:p w:rsidR="008C77AC" w:rsidRPr="00BA114E" w:rsidRDefault="008C77AC" w:rsidP="008C77AC">
      <w:pPr>
        <w:spacing w:after="120" w:line="240" w:lineRule="auto"/>
        <w:ind w:left="709" w:hanging="709"/>
        <w:jc w:val="both"/>
        <w:rPr>
          <w:rFonts w:cstheme="minorHAnsi"/>
          <w:bCs/>
          <w:lang w:val="en-GB"/>
        </w:rPr>
      </w:pPr>
      <w:r w:rsidRPr="00B749F7">
        <w:rPr>
          <w:rFonts w:cstheme="minorHAnsi"/>
          <w:bCs/>
          <w:caps/>
          <w:lang w:val="en-GB"/>
        </w:rPr>
        <w:t>Verwoerd</w:t>
      </w:r>
      <w:r w:rsidRPr="00BA114E">
        <w:rPr>
          <w:rFonts w:cstheme="minorHAnsi"/>
          <w:bCs/>
          <w:lang w:val="en-GB"/>
        </w:rPr>
        <w:t>, Wilhelm</w:t>
      </w:r>
      <w:r w:rsidRPr="00BA114E">
        <w:rPr>
          <w:rFonts w:cstheme="minorHAnsi"/>
          <w:lang w:val="en-GB"/>
        </w:rPr>
        <w:t xml:space="preserve">: “Towards the recognition of our past injustices”, </w:t>
      </w:r>
      <w:proofErr w:type="spellStart"/>
      <w:r w:rsidRPr="00BA114E">
        <w:rPr>
          <w:rFonts w:cstheme="minorHAnsi"/>
          <w:lang w:val="en-GB"/>
        </w:rPr>
        <w:t>en</w:t>
      </w:r>
      <w:proofErr w:type="spellEnd"/>
      <w:r w:rsidRPr="00BA114E">
        <w:rPr>
          <w:rFonts w:cstheme="minorHAnsi"/>
          <w:lang w:val="en-GB"/>
        </w:rPr>
        <w:t xml:space="preserve"> </w:t>
      </w:r>
      <w:r w:rsidRPr="00BA114E">
        <w:rPr>
          <w:rFonts w:cstheme="minorHAnsi"/>
          <w:bCs/>
          <w:lang w:val="en-GB"/>
        </w:rPr>
        <w:t>Villa-</w:t>
      </w:r>
      <w:proofErr w:type="spellStart"/>
      <w:r w:rsidRPr="00BA114E">
        <w:rPr>
          <w:rFonts w:cstheme="minorHAnsi"/>
          <w:bCs/>
          <w:lang w:val="en-GB"/>
        </w:rPr>
        <w:t>Vicencio</w:t>
      </w:r>
      <w:proofErr w:type="spellEnd"/>
      <w:r w:rsidRPr="00BA114E">
        <w:rPr>
          <w:rFonts w:cstheme="minorHAnsi"/>
          <w:bCs/>
          <w:lang w:val="en-GB"/>
        </w:rPr>
        <w:t xml:space="preserve">, Charles and Wilhelm Verwoerd (2000): </w:t>
      </w:r>
      <w:r w:rsidRPr="00BA114E">
        <w:rPr>
          <w:rFonts w:cstheme="minorHAnsi"/>
          <w:bCs/>
          <w:i/>
          <w:iCs/>
          <w:lang w:val="en-GB"/>
        </w:rPr>
        <w:t>Looking back, Reaching Forward. Reflections on the Truth and Reconciliation Commission of South Africa</w:t>
      </w:r>
      <w:r w:rsidRPr="00BA114E">
        <w:rPr>
          <w:rFonts w:cstheme="minorHAnsi"/>
          <w:bCs/>
          <w:lang w:val="en-GB"/>
        </w:rPr>
        <w:t>, University of Cape Town Press / Zed Books Ltd., London / Cape Town.</w:t>
      </w:r>
    </w:p>
    <w:p w:rsidR="008C77AC" w:rsidRPr="00E9793E" w:rsidRDefault="008C77AC" w:rsidP="008C77AC">
      <w:pPr>
        <w:ind w:left="709" w:hanging="709"/>
        <w:jc w:val="both"/>
        <w:rPr>
          <w:rFonts w:cstheme="minorHAnsi"/>
          <w:lang w:val="en-US"/>
        </w:rPr>
      </w:pPr>
      <w:r w:rsidRPr="00B749F7">
        <w:rPr>
          <w:rFonts w:cstheme="minorHAnsi"/>
          <w:caps/>
          <w:lang w:val="en-US"/>
        </w:rPr>
        <w:lastRenderedPageBreak/>
        <w:t>Villa-Vicencio</w:t>
      </w:r>
      <w:r w:rsidRPr="00E9793E">
        <w:rPr>
          <w:rFonts w:cstheme="minorHAnsi"/>
          <w:lang w:val="en-US"/>
        </w:rPr>
        <w:t xml:space="preserve">, Charles: “Restorative Justice: Ambiguities and Limitations of a Theory”, </w:t>
      </w:r>
      <w:proofErr w:type="spellStart"/>
      <w:r w:rsidRPr="00E9793E">
        <w:rPr>
          <w:rFonts w:cstheme="minorHAnsi"/>
          <w:lang w:val="en-US"/>
        </w:rPr>
        <w:t>en</w:t>
      </w:r>
      <w:proofErr w:type="spellEnd"/>
      <w:r w:rsidRPr="00E9793E">
        <w:rPr>
          <w:rFonts w:cstheme="minorHAnsi"/>
          <w:lang w:val="en-US"/>
        </w:rPr>
        <w:t xml:space="preserve"> Villa-</w:t>
      </w:r>
      <w:proofErr w:type="spellStart"/>
      <w:r w:rsidRPr="00E9793E">
        <w:rPr>
          <w:rFonts w:cstheme="minorHAnsi"/>
          <w:lang w:val="en-US"/>
        </w:rPr>
        <w:t>Vicencio</w:t>
      </w:r>
      <w:proofErr w:type="spellEnd"/>
      <w:r w:rsidRPr="00E9793E">
        <w:rPr>
          <w:rFonts w:cstheme="minorHAnsi"/>
          <w:lang w:val="en-US"/>
        </w:rPr>
        <w:t xml:space="preserve">, Charles and Erik </w:t>
      </w:r>
      <w:proofErr w:type="spellStart"/>
      <w:r w:rsidRPr="00E9793E">
        <w:rPr>
          <w:rFonts w:cstheme="minorHAnsi"/>
          <w:lang w:val="en-US"/>
        </w:rPr>
        <w:t>Doxtader</w:t>
      </w:r>
      <w:proofErr w:type="spellEnd"/>
      <w:r w:rsidRPr="00E9793E">
        <w:rPr>
          <w:rFonts w:cstheme="minorHAnsi"/>
          <w:lang w:val="en-US"/>
        </w:rPr>
        <w:t xml:space="preserve">  (2003): </w:t>
      </w:r>
      <w:r w:rsidRPr="00E9793E">
        <w:rPr>
          <w:rFonts w:cstheme="minorHAnsi"/>
          <w:i/>
          <w:lang w:val="en-US"/>
        </w:rPr>
        <w:t>The Provocations of Amnesty. Memory, Justice and Impunity</w:t>
      </w:r>
      <w:r w:rsidRPr="00E9793E">
        <w:rPr>
          <w:rFonts w:cstheme="minorHAnsi"/>
          <w:lang w:val="en-US"/>
        </w:rPr>
        <w:t>, David Philip Publishers/Institute for Justice and Reconciliation.</w:t>
      </w:r>
    </w:p>
    <w:p w:rsidR="008C77AC" w:rsidRPr="00E9793E" w:rsidRDefault="008C77AC" w:rsidP="008C77AC">
      <w:pPr>
        <w:spacing w:after="120" w:line="240" w:lineRule="auto"/>
        <w:jc w:val="both"/>
        <w:rPr>
          <w:rFonts w:cstheme="minorHAnsi"/>
          <w:b/>
        </w:rPr>
      </w:pPr>
      <w:r w:rsidRPr="00E9793E">
        <w:rPr>
          <w:rFonts w:cstheme="minorHAnsi"/>
          <w:b/>
        </w:rPr>
        <w:t>Fuente: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lang w:val="fr-FR"/>
        </w:rPr>
      </w:pPr>
      <w:r w:rsidRPr="00B749F7">
        <w:rPr>
          <w:rFonts w:cstheme="minorHAnsi"/>
          <w:caps/>
          <w:lang w:val="es-ES"/>
        </w:rPr>
        <w:t>Sudáfrica</w:t>
      </w:r>
      <w:r w:rsidRPr="0058200C">
        <w:rPr>
          <w:rFonts w:cstheme="minorHAnsi"/>
          <w:lang w:val="es-ES"/>
        </w:rPr>
        <w:t xml:space="preserve">, Constitución Transitoria, Epílogo, 1993, publicado en español en </w:t>
      </w:r>
      <w:r w:rsidRPr="0058200C">
        <w:rPr>
          <w:rFonts w:cstheme="minorHAnsi"/>
          <w:bCs/>
          <w:i/>
          <w:lang w:val="es-ES"/>
        </w:rPr>
        <w:t xml:space="preserve">Un pasado criminal. </w:t>
      </w:r>
      <w:r w:rsidRPr="0058200C">
        <w:rPr>
          <w:rFonts w:cstheme="minorHAnsi"/>
          <w:i/>
          <w:lang w:val="es-ES"/>
        </w:rPr>
        <w:t>Sudáfrica y Argentina: argumentos y documentos para el debate</w:t>
      </w:r>
      <w:r w:rsidRPr="0058200C">
        <w:rPr>
          <w:rFonts w:cstheme="minorHAnsi"/>
          <w:bCs/>
          <w:lang w:val="es-ES"/>
        </w:rPr>
        <w:t xml:space="preserve">, Lucas Martín (ed.). </w:t>
      </w:r>
      <w:r w:rsidRPr="00F11968">
        <w:rPr>
          <w:rFonts w:cstheme="minorHAnsi"/>
          <w:bCs/>
          <w:lang w:val="fr-FR"/>
        </w:rPr>
        <w:t>Buenos Aires: Katz/</w:t>
      </w:r>
      <w:proofErr w:type="spellStart"/>
      <w:r w:rsidRPr="00F11968">
        <w:rPr>
          <w:rFonts w:cstheme="minorHAnsi"/>
          <w:bCs/>
          <w:lang w:val="fr-FR"/>
        </w:rPr>
        <w:t>Eudeba</w:t>
      </w:r>
      <w:proofErr w:type="spellEnd"/>
      <w:r w:rsidRPr="00F11968">
        <w:rPr>
          <w:rFonts w:cstheme="minorHAnsi"/>
          <w:bCs/>
          <w:lang w:val="fr-FR"/>
        </w:rPr>
        <w:t>, p. 5</w:t>
      </w:r>
      <w:r w:rsidRPr="00F11968">
        <w:rPr>
          <w:rFonts w:cstheme="minorHAnsi"/>
          <w:lang w:val="fr-FR"/>
        </w:rPr>
        <w:t>.</w:t>
      </w:r>
      <w:r>
        <w:rPr>
          <w:rFonts w:cstheme="minorHAnsi"/>
          <w:lang w:val="fr-FR"/>
        </w:rPr>
        <w:t xml:space="preserve"> [disponible version en anglais et en français]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bCs/>
          <w:lang w:val="fr-FR"/>
        </w:rPr>
      </w:pPr>
      <w:r w:rsidRPr="00E33C1F">
        <w:rPr>
          <w:rFonts w:cstheme="minorHAnsi"/>
          <w:caps/>
          <w:lang w:val="en-US"/>
        </w:rPr>
        <w:t>Tutu</w:t>
      </w:r>
      <w:r w:rsidRPr="00E33C1F">
        <w:rPr>
          <w:rFonts w:cstheme="minorHAnsi"/>
          <w:lang w:val="en-US"/>
        </w:rPr>
        <w:t xml:space="preserve">, Arch. Desmond M. (2004)[1998], “Foreword”, </w:t>
      </w:r>
      <w:proofErr w:type="spellStart"/>
      <w:r w:rsidRPr="00E33C1F">
        <w:rPr>
          <w:rFonts w:cstheme="minorHAnsi"/>
          <w:lang w:val="en-US"/>
        </w:rPr>
        <w:t>en</w:t>
      </w:r>
      <w:proofErr w:type="spellEnd"/>
      <w:r w:rsidRPr="00E33C1F">
        <w:rPr>
          <w:rFonts w:cstheme="minorHAnsi"/>
          <w:lang w:val="en-US"/>
        </w:rPr>
        <w:t xml:space="preserve"> </w:t>
      </w:r>
      <w:r w:rsidRPr="00E33C1F">
        <w:rPr>
          <w:rFonts w:cstheme="minorHAnsi"/>
          <w:bCs/>
          <w:lang w:val="en-US"/>
        </w:rPr>
        <w:t xml:space="preserve">Salazar, Philippe-Joseph (2004) : </w:t>
      </w:r>
      <w:proofErr w:type="spellStart"/>
      <w:r w:rsidRPr="00E33C1F">
        <w:rPr>
          <w:rFonts w:cstheme="minorHAnsi"/>
          <w:bCs/>
          <w:i/>
          <w:iCs/>
          <w:lang w:val="en-US"/>
        </w:rPr>
        <w:t>Amnistier</w:t>
      </w:r>
      <w:proofErr w:type="spellEnd"/>
      <w:r w:rsidRPr="00E33C1F">
        <w:rPr>
          <w:rFonts w:cstheme="minorHAnsi"/>
          <w:bCs/>
          <w:i/>
          <w:iCs/>
          <w:lang w:val="en-US"/>
        </w:rPr>
        <w:t xml:space="preserve"> </w:t>
      </w:r>
      <w:proofErr w:type="spellStart"/>
      <w:r w:rsidRPr="00E33C1F">
        <w:rPr>
          <w:rFonts w:cstheme="minorHAnsi"/>
          <w:bCs/>
          <w:i/>
          <w:iCs/>
          <w:lang w:val="en-US"/>
        </w:rPr>
        <w:t>l’apartheid</w:t>
      </w:r>
      <w:proofErr w:type="spellEnd"/>
      <w:r w:rsidRPr="00E33C1F">
        <w:rPr>
          <w:rFonts w:cstheme="minorHAnsi"/>
          <w:bCs/>
          <w:i/>
          <w:iCs/>
          <w:lang w:val="en-US"/>
        </w:rPr>
        <w:t xml:space="preserve">. </w:t>
      </w:r>
      <w:r w:rsidRPr="0000474E">
        <w:rPr>
          <w:rFonts w:cstheme="minorHAnsi"/>
          <w:bCs/>
          <w:i/>
          <w:iCs/>
          <w:lang w:val="fr-FR"/>
        </w:rPr>
        <w:t>Travaux de la Commission Vérité et Réconciliation</w:t>
      </w:r>
      <w:r w:rsidRPr="0000474E">
        <w:rPr>
          <w:rFonts w:cstheme="minorHAnsi"/>
          <w:bCs/>
          <w:lang w:val="fr-FR"/>
        </w:rPr>
        <w:t>, sous la direction de Desmond Tutu, traduction par Sylvie Courtine-</w:t>
      </w:r>
      <w:proofErr w:type="spellStart"/>
      <w:r w:rsidRPr="0000474E">
        <w:rPr>
          <w:rFonts w:cstheme="minorHAnsi"/>
          <w:bCs/>
          <w:lang w:val="fr-FR"/>
        </w:rPr>
        <w:t>Denamy</w:t>
      </w:r>
      <w:proofErr w:type="spellEnd"/>
      <w:r w:rsidRPr="0000474E">
        <w:rPr>
          <w:rFonts w:cstheme="minorHAnsi"/>
          <w:bCs/>
          <w:lang w:val="fr-FR"/>
        </w:rPr>
        <w:t>, Charlotte Girard, Philippe Joseph-Salazar, éditions du Seuil, 2004, Paris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bCs/>
          <w:lang w:val="fr-FR"/>
        </w:rPr>
      </w:pPr>
    </w:p>
    <w:p w:rsidR="008C77AC" w:rsidRPr="005B6036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cstheme="minorHAnsi"/>
          <w:b/>
          <w:sz w:val="24"/>
          <w:szCs w:val="24"/>
          <w:lang w:val="fr-FR"/>
        </w:rPr>
      </w:pPr>
      <w:r w:rsidRPr="005B6036">
        <w:rPr>
          <w:rFonts w:cstheme="minorHAnsi"/>
          <w:b/>
          <w:sz w:val="24"/>
          <w:szCs w:val="24"/>
          <w:lang w:val="fr-FR"/>
        </w:rPr>
        <w:t xml:space="preserve">Partie 5. Paix, justice, négociations et ses limites </w:t>
      </w:r>
    </w:p>
    <w:p w:rsidR="008C77AC" w:rsidRPr="00BC7FDF" w:rsidRDefault="008C77AC" w:rsidP="008C77AC">
      <w:pPr>
        <w:pStyle w:val="Pieddepage"/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:rsidR="008C77AC" w:rsidRPr="008C77AC" w:rsidRDefault="008C77AC" w:rsidP="008C77AC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after="120"/>
        <w:ind w:left="709" w:hanging="709"/>
        <w:jc w:val="both"/>
        <w:rPr>
          <w:rFonts w:asciiTheme="minorHAnsi" w:hAnsiTheme="minorHAnsi" w:cstheme="minorHAnsi"/>
          <w:b/>
          <w:bCs/>
          <w:smallCaps/>
          <w:lang w:val="es-AR"/>
        </w:rPr>
      </w:pPr>
      <w:proofErr w:type="spellStart"/>
      <w:r w:rsidRPr="008C77AC">
        <w:rPr>
          <w:rFonts w:asciiTheme="minorHAnsi" w:hAnsiTheme="minorHAnsi" w:cstheme="minorHAnsi"/>
          <w:b/>
          <w:bCs/>
          <w:smallCaps/>
          <w:lang w:val="es-AR"/>
        </w:rPr>
        <w:t>Séance</w:t>
      </w:r>
      <w:proofErr w:type="spellEnd"/>
      <w:r w:rsidRPr="008C77AC">
        <w:rPr>
          <w:rFonts w:asciiTheme="minorHAnsi" w:hAnsiTheme="minorHAnsi" w:cstheme="minorHAnsi"/>
          <w:b/>
          <w:bCs/>
          <w:smallCaps/>
          <w:lang w:val="es-AR"/>
        </w:rPr>
        <w:t xml:space="preserve"> 9</w:t>
      </w:r>
    </w:p>
    <w:p w:rsidR="008C77AC" w:rsidRDefault="008C77AC" w:rsidP="008C77AC">
      <w:pPr>
        <w:spacing w:after="120" w:line="240" w:lineRule="auto"/>
        <w:ind w:left="709" w:hanging="709"/>
        <w:rPr>
          <w:b/>
        </w:rPr>
      </w:pPr>
      <w:proofErr w:type="spellStart"/>
      <w:r w:rsidRPr="008C77AC">
        <w:rPr>
          <w:b/>
        </w:rPr>
        <w:t>Lecture</w:t>
      </w:r>
      <w:proofErr w:type="spellEnd"/>
    </w:p>
    <w:p w:rsidR="00CD130F" w:rsidRDefault="00CD130F" w:rsidP="00CD130F">
      <w:pPr>
        <w:spacing w:after="120" w:line="240" w:lineRule="auto"/>
        <w:ind w:left="454" w:hanging="454"/>
        <w:jc w:val="both"/>
        <w:rPr>
          <w:rFonts w:eastAsia="Times New Roman" w:cstheme="minorHAnsi"/>
          <w:lang w:val="es-ES" w:eastAsia="es-AR"/>
        </w:rPr>
      </w:pPr>
      <w:r>
        <w:rPr>
          <w:rFonts w:eastAsia="Times New Roman" w:cstheme="minorHAnsi"/>
          <w:lang w:val="es-ES" w:eastAsia="es-AR"/>
        </w:rPr>
        <w:t>MEZA</w:t>
      </w:r>
      <w:r w:rsidRPr="00CD130F">
        <w:rPr>
          <w:rFonts w:eastAsia="Times New Roman" w:cstheme="minorHAnsi"/>
          <w:lang w:val="es-ES" w:eastAsia="es-AR"/>
        </w:rPr>
        <w:t>, M. L. C., &amp; P</w:t>
      </w:r>
      <w:r>
        <w:rPr>
          <w:rFonts w:eastAsia="Times New Roman" w:cstheme="minorHAnsi"/>
          <w:lang w:val="es-ES" w:eastAsia="es-AR"/>
        </w:rPr>
        <w:t>ADILLA</w:t>
      </w:r>
      <w:r w:rsidRPr="00CD130F">
        <w:rPr>
          <w:rFonts w:eastAsia="Times New Roman" w:cstheme="minorHAnsi"/>
          <w:lang w:val="es-ES" w:eastAsia="es-AR"/>
        </w:rPr>
        <w:t xml:space="preserve">, A. M. I. (2019). </w:t>
      </w:r>
      <w:r>
        <w:rPr>
          <w:rFonts w:eastAsia="Times New Roman" w:cstheme="minorHAnsi"/>
          <w:lang w:val="es-ES" w:eastAsia="es-AR"/>
        </w:rPr>
        <w:t>“</w:t>
      </w:r>
      <w:r w:rsidRPr="00CD130F">
        <w:rPr>
          <w:rFonts w:eastAsia="Times New Roman" w:cstheme="minorHAnsi"/>
          <w:lang w:val="es-ES" w:eastAsia="es-AR"/>
        </w:rPr>
        <w:t xml:space="preserve">Jurisdicción especial para la paz: Fundamentos teóricos y características de la justicia transicional en </w:t>
      </w:r>
      <w:r>
        <w:rPr>
          <w:rFonts w:eastAsia="Times New Roman" w:cstheme="minorHAnsi"/>
          <w:lang w:val="es-ES" w:eastAsia="es-AR"/>
        </w:rPr>
        <w:t>C</w:t>
      </w:r>
      <w:r w:rsidRPr="00CD130F">
        <w:rPr>
          <w:rFonts w:eastAsia="Times New Roman" w:cstheme="minorHAnsi"/>
          <w:lang w:val="es-ES" w:eastAsia="es-AR"/>
        </w:rPr>
        <w:t>olombia</w:t>
      </w:r>
      <w:r>
        <w:rPr>
          <w:rFonts w:eastAsia="Times New Roman" w:cstheme="minorHAnsi"/>
          <w:lang w:val="es-ES" w:eastAsia="es-AR"/>
        </w:rPr>
        <w:t>”</w:t>
      </w:r>
      <w:r w:rsidRPr="00CD130F">
        <w:rPr>
          <w:rFonts w:eastAsia="Times New Roman" w:cstheme="minorHAnsi"/>
          <w:lang w:val="es-ES" w:eastAsia="es-AR"/>
        </w:rPr>
        <w:t xml:space="preserve">. </w:t>
      </w:r>
      <w:proofErr w:type="spellStart"/>
      <w:r w:rsidRPr="00CD130F">
        <w:rPr>
          <w:rFonts w:eastAsia="Times New Roman" w:cstheme="minorHAnsi"/>
          <w:i/>
          <w:lang w:val="es-ES" w:eastAsia="es-AR"/>
        </w:rPr>
        <w:t>Análisis</w:t>
      </w:r>
      <w:proofErr w:type="spellEnd"/>
      <w:r w:rsidRPr="00CD130F">
        <w:rPr>
          <w:rFonts w:eastAsia="Times New Roman" w:cstheme="minorHAnsi"/>
          <w:i/>
          <w:lang w:val="es-ES" w:eastAsia="es-AR"/>
        </w:rPr>
        <w:t xml:space="preserve"> </w:t>
      </w:r>
      <w:proofErr w:type="spellStart"/>
      <w:r w:rsidRPr="00CD130F">
        <w:rPr>
          <w:rFonts w:eastAsia="Times New Roman" w:cstheme="minorHAnsi"/>
          <w:i/>
          <w:lang w:val="es-ES" w:eastAsia="es-AR"/>
        </w:rPr>
        <w:t>Político</w:t>
      </w:r>
      <w:proofErr w:type="spellEnd"/>
      <w:r w:rsidRPr="00CD130F">
        <w:rPr>
          <w:rFonts w:eastAsia="Times New Roman" w:cstheme="minorHAnsi"/>
          <w:lang w:val="es-ES" w:eastAsia="es-AR"/>
        </w:rPr>
        <w:t xml:space="preserve">, 32(96), 3-20. </w:t>
      </w:r>
    </w:p>
    <w:p w:rsidR="008C77AC" w:rsidRPr="007C6F9A" w:rsidRDefault="008C77AC" w:rsidP="008C77AC">
      <w:pPr>
        <w:ind w:left="709" w:hanging="709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Lectures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recommandées</w:t>
      </w:r>
      <w:proofErr w:type="spellEnd"/>
    </w:p>
    <w:p w:rsidR="008C77AC" w:rsidRPr="00BA114E" w:rsidRDefault="008C77AC" w:rsidP="008C77AC">
      <w:pPr>
        <w:pStyle w:val="Defaul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5B6036">
        <w:rPr>
          <w:rFonts w:asciiTheme="minorHAnsi" w:hAnsiTheme="minorHAnsi" w:cstheme="minorHAnsi"/>
          <w:caps/>
          <w:sz w:val="22"/>
          <w:szCs w:val="22"/>
        </w:rPr>
        <w:t>Ahumada</w:t>
      </w:r>
      <w:r w:rsidRPr="00BA114E">
        <w:rPr>
          <w:rFonts w:asciiTheme="minorHAnsi" w:hAnsiTheme="minorHAnsi" w:cstheme="minorHAnsi"/>
          <w:sz w:val="22"/>
          <w:szCs w:val="22"/>
        </w:rPr>
        <w:t xml:space="preserve">, Consuelo (2020), “La implementación del Acuerdo de paz en Colombia: entre la “paz territorial” y la disputa por el territorio”, </w:t>
      </w:r>
      <w:r w:rsidRPr="00BA114E">
        <w:rPr>
          <w:rFonts w:asciiTheme="minorHAnsi" w:hAnsiTheme="minorHAnsi" w:cstheme="minorHAnsi"/>
          <w:i/>
          <w:sz w:val="22"/>
          <w:szCs w:val="22"/>
        </w:rPr>
        <w:t>Problemas del Desarrollo. Revista Latinoamericana de Economía.</w:t>
      </w:r>
      <w:r w:rsidRPr="00BA11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114E">
        <w:rPr>
          <w:rFonts w:asciiTheme="minorHAnsi" w:hAnsiTheme="minorHAnsi" w:cstheme="minorHAnsi"/>
          <w:sz w:val="22"/>
          <w:szCs w:val="22"/>
        </w:rPr>
        <w:t>Vol</w:t>
      </w:r>
      <w:proofErr w:type="spellEnd"/>
      <w:r w:rsidRPr="00BA114E">
        <w:rPr>
          <w:rFonts w:asciiTheme="minorHAnsi" w:hAnsiTheme="minorHAnsi" w:cstheme="minorHAnsi"/>
          <w:sz w:val="22"/>
          <w:szCs w:val="22"/>
        </w:rPr>
        <w:t xml:space="preserve"> 51, </w:t>
      </w:r>
      <w:proofErr w:type="spellStart"/>
      <w:r w:rsidRPr="00BA114E">
        <w:rPr>
          <w:rFonts w:asciiTheme="minorHAnsi" w:hAnsiTheme="minorHAnsi" w:cstheme="minorHAnsi"/>
          <w:sz w:val="22"/>
          <w:szCs w:val="22"/>
        </w:rPr>
        <w:t>núm</w:t>
      </w:r>
      <w:proofErr w:type="spellEnd"/>
      <w:r w:rsidRPr="00BA114E">
        <w:rPr>
          <w:rFonts w:asciiTheme="minorHAnsi" w:hAnsiTheme="minorHAnsi" w:cstheme="minorHAnsi"/>
          <w:sz w:val="22"/>
          <w:szCs w:val="22"/>
        </w:rPr>
        <w:t xml:space="preserve"> 200, enero-marzo 2020, pp. 25-47.  </w:t>
      </w:r>
      <w:hyperlink r:id="rId21" w:history="1">
        <w:r w:rsidRPr="00BA114E">
          <w:rPr>
            <w:rStyle w:val="Lienhypertexte"/>
            <w:rFonts w:asciiTheme="minorHAnsi" w:hAnsiTheme="minorHAnsi" w:cstheme="minorHAnsi"/>
            <w:sz w:val="22"/>
            <w:szCs w:val="22"/>
          </w:rPr>
          <w:t>https://doi.org/10.22201/iiec.20078951e.2020.200.69502</w:t>
        </w:r>
      </w:hyperlink>
      <w:r w:rsidRPr="00BA114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628F" w:rsidRPr="0000474E" w:rsidRDefault="00DD628F" w:rsidP="00DD628F">
      <w:pPr>
        <w:spacing w:after="120" w:line="240" w:lineRule="auto"/>
        <w:ind w:left="454" w:hanging="454"/>
        <w:jc w:val="both"/>
        <w:rPr>
          <w:rFonts w:cstheme="minorHAnsi"/>
          <w:lang w:val="es-ES"/>
        </w:rPr>
      </w:pPr>
      <w:r>
        <w:rPr>
          <w:rFonts w:eastAsia="Times New Roman" w:cstheme="minorHAnsi"/>
          <w:lang w:val="es-ES" w:eastAsia="es-AR"/>
        </w:rPr>
        <w:t>MONCAYO</w:t>
      </w:r>
      <w:r w:rsidRPr="0000474E">
        <w:rPr>
          <w:rFonts w:eastAsia="Times New Roman" w:cstheme="minorHAnsi"/>
          <w:lang w:val="es-ES" w:eastAsia="es-AR"/>
        </w:rPr>
        <w:t xml:space="preserve">, V., Pizarro, E. (2015): “Comisión Histórica del Conflicto y sus Víctimas”, en </w:t>
      </w:r>
      <w:r w:rsidRPr="0000474E">
        <w:rPr>
          <w:rFonts w:eastAsia="Times New Roman" w:cstheme="minorHAnsi"/>
          <w:i/>
          <w:lang w:val="es-ES" w:eastAsia="es-AR"/>
        </w:rPr>
        <w:t>Contribución al entendimiento del conflicto armado en Colombia</w:t>
      </w:r>
      <w:r w:rsidRPr="0000474E">
        <w:rPr>
          <w:rFonts w:eastAsia="Times New Roman" w:cstheme="minorHAnsi"/>
          <w:lang w:val="es-ES" w:eastAsia="es-AR"/>
        </w:rPr>
        <w:t xml:space="preserve">, disponible en </w:t>
      </w:r>
      <w:hyperlink r:id="rId22" w:history="1">
        <w:r w:rsidRPr="0000474E">
          <w:rPr>
            <w:rStyle w:val="Lienhypertexte"/>
            <w:rFonts w:eastAsia="Times New Roman" w:cstheme="minorHAnsi"/>
            <w:lang w:val="es-ES" w:eastAsia="es-AR"/>
          </w:rPr>
          <w:t>www.mesadeconversaciones.com.co</w:t>
        </w:r>
      </w:hyperlink>
    </w:p>
    <w:p w:rsidR="008C77AC" w:rsidRDefault="008C77AC" w:rsidP="008C77AC">
      <w:pPr>
        <w:spacing w:after="120" w:line="240" w:lineRule="auto"/>
        <w:ind w:left="709" w:hanging="709"/>
      </w:pPr>
      <w:r w:rsidRPr="005B6036">
        <w:rPr>
          <w:caps/>
          <w:lang w:val="es-MX"/>
        </w:rPr>
        <w:t>Orozco Abad</w:t>
      </w:r>
      <w:r w:rsidRPr="001A5773">
        <w:rPr>
          <w:lang w:val="es-MX"/>
        </w:rPr>
        <w:t xml:space="preserve">, Iván (2006), </w:t>
      </w:r>
      <w:r w:rsidRPr="001A5773">
        <w:rPr>
          <w:i/>
          <w:lang w:val="es-MX"/>
        </w:rPr>
        <w:t>Combatientes, rebeldes y terroristas. Guerra y derecho en Colombia</w:t>
      </w:r>
      <w:r w:rsidRPr="001A5773">
        <w:rPr>
          <w:lang w:val="es-MX"/>
        </w:rPr>
        <w:t>, Bogotá: Temis.</w:t>
      </w:r>
      <w:r w:rsidRPr="007C6F9A">
        <w:t xml:space="preserve"> </w:t>
      </w:r>
    </w:p>
    <w:p w:rsidR="00CD130F" w:rsidRDefault="00CD130F" w:rsidP="008C77AC">
      <w:pPr>
        <w:spacing w:after="120"/>
        <w:ind w:left="709" w:hanging="709"/>
        <w:jc w:val="both"/>
        <w:rPr>
          <w:rFonts w:cs="Futura Lt BT"/>
          <w:color w:val="000000"/>
        </w:rPr>
      </w:pPr>
      <w:r w:rsidRPr="00CD130F">
        <w:rPr>
          <w:rFonts w:cs="Futura Lt BT"/>
          <w:caps/>
          <w:color w:val="000000"/>
        </w:rPr>
        <w:t>Rettberg,</w:t>
      </w:r>
      <w:r>
        <w:rPr>
          <w:rFonts w:cs="Futura Lt BT"/>
          <w:caps/>
          <w:color w:val="000000"/>
        </w:rPr>
        <w:t xml:space="preserve"> </w:t>
      </w:r>
      <w:r w:rsidRPr="00CD130F">
        <w:rPr>
          <w:rFonts w:cs="Futura Lt BT"/>
          <w:color w:val="000000"/>
        </w:rPr>
        <w:t>Angelika</w:t>
      </w:r>
      <w:r>
        <w:rPr>
          <w:rFonts w:cs="Futura Lt BT"/>
          <w:color w:val="000000"/>
        </w:rPr>
        <w:t xml:space="preserve"> (2020),</w:t>
      </w:r>
      <w:r w:rsidRPr="00CD130F">
        <w:rPr>
          <w:rFonts w:cs="Futura Lt BT"/>
          <w:color w:val="000000"/>
        </w:rPr>
        <w:t xml:space="preserve"> «Violencia en América Latina hoy: manifestaciones e impactos», Revista de Estudios Sociales [En línea], 73 | 01 julio 2020, Publicado el 01 julio 2020, URL: </w:t>
      </w:r>
      <w:hyperlink r:id="rId23" w:history="1">
        <w:r w:rsidRPr="001A7B93">
          <w:rPr>
            <w:rStyle w:val="Lienhypertexte"/>
            <w:rFonts w:cs="Futura Lt BT"/>
          </w:rPr>
          <w:t>http://journals.openedition.org/revestudsoc/47857</w:t>
        </w:r>
      </w:hyperlink>
    </w:p>
    <w:p w:rsidR="00CD130F" w:rsidRPr="00CD130F" w:rsidRDefault="00CD130F" w:rsidP="008C77AC">
      <w:pPr>
        <w:spacing w:after="120"/>
        <w:ind w:left="709" w:hanging="709"/>
        <w:jc w:val="both"/>
        <w:rPr>
          <w:rStyle w:val="Lienhypertexte"/>
        </w:rPr>
      </w:pPr>
      <w:r w:rsidRPr="00CD130F">
        <w:rPr>
          <w:rFonts w:cs="Futura Lt BT"/>
          <w:color w:val="000000"/>
        </w:rPr>
        <w:t>R</w:t>
      </w:r>
      <w:r>
        <w:rPr>
          <w:rFonts w:cs="Futura Lt BT"/>
          <w:color w:val="000000"/>
        </w:rPr>
        <w:t>ÍOS SIERRA</w:t>
      </w:r>
      <w:r w:rsidRPr="00CD130F">
        <w:rPr>
          <w:rFonts w:cs="Futura Lt BT"/>
          <w:color w:val="000000"/>
        </w:rPr>
        <w:t xml:space="preserve">, J. (2020). ¿Una paz fallida? Dificultades de la construcción de paz en Colombia tras el acuerdo con las FARC-EP. </w:t>
      </w:r>
      <w:r w:rsidRPr="00CD130F">
        <w:rPr>
          <w:rFonts w:cs="Futura Lt BT"/>
          <w:i/>
          <w:iCs/>
          <w:color w:val="000000"/>
        </w:rPr>
        <w:t>Revista de Estudios Políticos</w:t>
      </w:r>
      <w:r w:rsidRPr="00CD130F">
        <w:rPr>
          <w:rFonts w:cs="Futura Lt BT"/>
          <w:color w:val="000000"/>
        </w:rPr>
        <w:t xml:space="preserve">, 190, 129-163. </w:t>
      </w:r>
      <w:proofErr w:type="spellStart"/>
      <w:r w:rsidRPr="00CD130F">
        <w:t>doi</w:t>
      </w:r>
      <w:proofErr w:type="spellEnd"/>
      <w:r w:rsidRPr="00CD130F">
        <w:t xml:space="preserve">: </w:t>
      </w:r>
      <w:hyperlink r:id="rId24" w:history="1">
        <w:r w:rsidRPr="00CD130F">
          <w:rPr>
            <w:rStyle w:val="Lienhypertexte"/>
          </w:rPr>
          <w:t>https://doi.org/10.18042/cepc/rep.190.05</w:t>
        </w:r>
      </w:hyperlink>
    </w:p>
    <w:p w:rsidR="008C77AC" w:rsidRPr="00E9793E" w:rsidRDefault="008C77AC" w:rsidP="008C77AC">
      <w:pPr>
        <w:spacing w:after="120"/>
        <w:ind w:left="709" w:hanging="709"/>
        <w:jc w:val="both"/>
        <w:rPr>
          <w:rFonts w:cstheme="minorHAnsi"/>
          <w:lang w:val="en-US"/>
        </w:rPr>
      </w:pPr>
      <w:r w:rsidRPr="005B6036">
        <w:rPr>
          <w:rFonts w:cstheme="minorHAnsi"/>
          <w:caps/>
        </w:rPr>
        <w:t>Sánchez León</w:t>
      </w:r>
      <w:r w:rsidRPr="00A347C8">
        <w:rPr>
          <w:rFonts w:cstheme="minorHAnsi"/>
        </w:rPr>
        <w:t xml:space="preserve">, Nelson C., </w:t>
      </w:r>
      <w:r w:rsidRPr="005B6036">
        <w:rPr>
          <w:rFonts w:cstheme="minorHAnsi"/>
          <w:caps/>
        </w:rPr>
        <w:t>García-Godos</w:t>
      </w:r>
      <w:r w:rsidRPr="00A347C8">
        <w:rPr>
          <w:rFonts w:cstheme="minorHAnsi"/>
        </w:rPr>
        <w:t xml:space="preserve">, Jemima y </w:t>
      </w:r>
      <w:r w:rsidRPr="005B6036">
        <w:rPr>
          <w:rFonts w:cstheme="minorHAnsi"/>
          <w:caps/>
        </w:rPr>
        <w:t>Vallejo</w:t>
      </w:r>
      <w:r w:rsidRPr="00A347C8">
        <w:rPr>
          <w:rFonts w:cstheme="minorHAnsi"/>
        </w:rPr>
        <w:t xml:space="preserve">, Catalina (2016), “Colombia: </w:t>
      </w:r>
      <w:proofErr w:type="spellStart"/>
      <w:r w:rsidRPr="00A347C8">
        <w:rPr>
          <w:rFonts w:cstheme="minorHAnsi"/>
        </w:rPr>
        <w:t>transitional</w:t>
      </w:r>
      <w:proofErr w:type="spellEnd"/>
      <w:r w:rsidRPr="00A347C8">
        <w:rPr>
          <w:rFonts w:cstheme="minorHAnsi"/>
        </w:rPr>
        <w:t xml:space="preserve"> </w:t>
      </w:r>
      <w:proofErr w:type="spellStart"/>
      <w:r w:rsidRPr="00A347C8">
        <w:rPr>
          <w:rFonts w:cstheme="minorHAnsi"/>
        </w:rPr>
        <w:t>justice</w:t>
      </w:r>
      <w:proofErr w:type="spellEnd"/>
      <w:r w:rsidRPr="00A347C8">
        <w:rPr>
          <w:rFonts w:cstheme="minorHAnsi"/>
        </w:rPr>
        <w:t xml:space="preserve"> </w:t>
      </w:r>
      <w:proofErr w:type="spellStart"/>
      <w:r w:rsidRPr="00A347C8">
        <w:rPr>
          <w:rFonts w:cstheme="minorHAnsi"/>
        </w:rPr>
        <w:t>before</w:t>
      </w:r>
      <w:proofErr w:type="spellEnd"/>
      <w:r w:rsidRPr="00A347C8">
        <w:rPr>
          <w:rFonts w:cstheme="minorHAnsi"/>
        </w:rPr>
        <w:t xml:space="preserve"> </w:t>
      </w:r>
      <w:proofErr w:type="spellStart"/>
      <w:r w:rsidRPr="00A347C8">
        <w:rPr>
          <w:rFonts w:cstheme="minorHAnsi"/>
        </w:rPr>
        <w:t>transition</w:t>
      </w:r>
      <w:proofErr w:type="spellEnd"/>
      <w:r w:rsidRPr="00A347C8">
        <w:rPr>
          <w:rFonts w:cstheme="minorHAnsi"/>
        </w:rPr>
        <w:t xml:space="preserve">”, en </w:t>
      </w:r>
      <w:proofErr w:type="spellStart"/>
      <w:r w:rsidRPr="00A347C8">
        <w:rPr>
          <w:rFonts w:cstheme="minorHAnsi"/>
        </w:rPr>
        <w:t>Skaar</w:t>
      </w:r>
      <w:proofErr w:type="spellEnd"/>
      <w:r w:rsidRPr="00A347C8">
        <w:rPr>
          <w:rFonts w:cstheme="minorHAnsi"/>
        </w:rPr>
        <w:t xml:space="preserve">, </w:t>
      </w:r>
      <w:proofErr w:type="spellStart"/>
      <w:r w:rsidRPr="00A347C8">
        <w:rPr>
          <w:rFonts w:cstheme="minorHAnsi"/>
        </w:rPr>
        <w:t>Elin</w:t>
      </w:r>
      <w:proofErr w:type="spellEnd"/>
      <w:r w:rsidRPr="00A347C8">
        <w:rPr>
          <w:rFonts w:cstheme="minorHAnsi"/>
        </w:rPr>
        <w:t xml:space="preserve">, García-Godos Jemima and Collins, </w:t>
      </w:r>
      <w:proofErr w:type="spellStart"/>
      <w:r w:rsidRPr="00A347C8">
        <w:rPr>
          <w:rFonts w:cstheme="minorHAnsi"/>
        </w:rPr>
        <w:t>Cath</w:t>
      </w:r>
      <w:proofErr w:type="spellEnd"/>
      <w:r w:rsidRPr="00A347C8">
        <w:rPr>
          <w:rFonts w:cstheme="minorHAnsi"/>
        </w:rPr>
        <w:t xml:space="preserve"> (2016), </w:t>
      </w:r>
      <w:proofErr w:type="spellStart"/>
      <w:r w:rsidRPr="00A347C8">
        <w:rPr>
          <w:rFonts w:cstheme="minorHAnsi"/>
          <w:i/>
        </w:rPr>
        <w:t>Transitional</w:t>
      </w:r>
      <w:proofErr w:type="spellEnd"/>
      <w:r w:rsidRPr="00A347C8">
        <w:rPr>
          <w:rFonts w:cstheme="minorHAnsi"/>
          <w:i/>
        </w:rPr>
        <w:t xml:space="preserve"> </w:t>
      </w:r>
      <w:proofErr w:type="spellStart"/>
      <w:r w:rsidRPr="00A347C8">
        <w:rPr>
          <w:rFonts w:cstheme="minorHAnsi"/>
          <w:i/>
        </w:rPr>
        <w:t>Justice</w:t>
      </w:r>
      <w:proofErr w:type="spellEnd"/>
      <w:r w:rsidRPr="00A347C8">
        <w:rPr>
          <w:rFonts w:cstheme="minorHAnsi"/>
          <w:i/>
        </w:rPr>
        <w:t xml:space="preserve"> in </w:t>
      </w:r>
      <w:proofErr w:type="spellStart"/>
      <w:r w:rsidRPr="00A347C8">
        <w:rPr>
          <w:rFonts w:cstheme="minorHAnsi"/>
          <w:i/>
        </w:rPr>
        <w:t>Latin</w:t>
      </w:r>
      <w:proofErr w:type="spellEnd"/>
      <w:r w:rsidRPr="00A347C8">
        <w:rPr>
          <w:rFonts w:cstheme="minorHAnsi"/>
          <w:i/>
        </w:rPr>
        <w:t xml:space="preserve"> </w:t>
      </w:r>
      <w:proofErr w:type="spellStart"/>
      <w:r w:rsidRPr="00A347C8">
        <w:rPr>
          <w:rFonts w:cstheme="minorHAnsi"/>
          <w:i/>
        </w:rPr>
        <w:t>America</w:t>
      </w:r>
      <w:proofErr w:type="spellEnd"/>
      <w:r w:rsidRPr="00A347C8">
        <w:rPr>
          <w:rFonts w:cstheme="minorHAnsi"/>
          <w:i/>
        </w:rPr>
        <w:t xml:space="preserve">. </w:t>
      </w:r>
      <w:r w:rsidRPr="00E9793E">
        <w:rPr>
          <w:rFonts w:cstheme="minorHAnsi"/>
          <w:i/>
          <w:lang w:val="en-US"/>
        </w:rPr>
        <w:t>The uneven road from impunity towards accountability</w:t>
      </w:r>
      <w:r w:rsidRPr="00E9793E">
        <w:rPr>
          <w:rFonts w:cstheme="minorHAnsi"/>
          <w:lang w:val="en-US"/>
        </w:rPr>
        <w:t xml:space="preserve">, Abingdon/New York: Routledge. </w:t>
      </w:r>
    </w:p>
    <w:p w:rsidR="008C77AC" w:rsidRDefault="008C77AC" w:rsidP="008C77AC">
      <w:pPr>
        <w:ind w:left="709" w:hanging="709"/>
        <w:jc w:val="both"/>
        <w:rPr>
          <w:rFonts w:cstheme="minorHAnsi"/>
        </w:rPr>
      </w:pPr>
      <w:r w:rsidRPr="005B6036">
        <w:rPr>
          <w:rFonts w:cstheme="minorHAnsi"/>
          <w:caps/>
        </w:rPr>
        <w:lastRenderedPageBreak/>
        <w:t>Uprimny Yepes</w:t>
      </w:r>
      <w:r w:rsidRPr="00A347C8">
        <w:rPr>
          <w:rFonts w:cstheme="minorHAnsi"/>
        </w:rPr>
        <w:t xml:space="preserve">, R. (2006), ¿Justicia transicional sin transición? Reflexiones sobre verdad, justicia y reparación para Colombia (pp. 11-16) Uprimny Yepes, R.; </w:t>
      </w:r>
      <w:proofErr w:type="spellStart"/>
      <w:r w:rsidRPr="00A347C8">
        <w:rPr>
          <w:rFonts w:cstheme="minorHAnsi"/>
        </w:rPr>
        <w:t>Saffon</w:t>
      </w:r>
      <w:proofErr w:type="spellEnd"/>
      <w:r w:rsidRPr="00A347C8">
        <w:rPr>
          <w:rFonts w:cstheme="minorHAnsi"/>
        </w:rPr>
        <w:t xml:space="preserve"> Sanín, M. P.; Botero Marino, C.; Restrepo Saldarriaga, E., </w:t>
      </w:r>
      <w:r w:rsidRPr="00A347C8">
        <w:rPr>
          <w:rFonts w:cstheme="minorHAnsi"/>
          <w:i/>
        </w:rPr>
        <w:t>¿Justicia transicional sin transición? Verdad, justicia y reparación para Colombia</w:t>
      </w:r>
      <w:r w:rsidRPr="00A347C8">
        <w:rPr>
          <w:rFonts w:cstheme="minorHAnsi"/>
        </w:rPr>
        <w:t>, Centro de Estudios de Derecho, Justicia y Sociedad, 2006, Bogotá.</w:t>
      </w:r>
    </w:p>
    <w:p w:rsidR="00297912" w:rsidRPr="00297912" w:rsidRDefault="00297912" w:rsidP="00297912">
      <w:pPr>
        <w:spacing w:after="120" w:line="240" w:lineRule="auto"/>
        <w:jc w:val="both"/>
        <w:rPr>
          <w:rFonts w:cstheme="minorHAnsi"/>
          <w:b/>
        </w:rPr>
      </w:pPr>
      <w:r w:rsidRPr="00297912">
        <w:rPr>
          <w:rFonts w:cstheme="minorHAnsi"/>
          <w:b/>
        </w:rPr>
        <w:t>Fuentes:</w:t>
      </w:r>
    </w:p>
    <w:p w:rsidR="00297912" w:rsidRDefault="00297912" w:rsidP="00297912">
      <w:pPr>
        <w:spacing w:after="120" w:line="240" w:lineRule="auto"/>
        <w:ind w:left="709" w:hanging="709"/>
        <w:jc w:val="both"/>
        <w:rPr>
          <w:rFonts w:cstheme="minorHAnsi"/>
        </w:rPr>
      </w:pPr>
      <w:r w:rsidRPr="007E0C20">
        <w:rPr>
          <w:rFonts w:cstheme="minorHAnsi"/>
          <w:caps/>
          <w:shd w:val="clear" w:color="auto" w:fill="FFFFFF"/>
        </w:rPr>
        <w:t>Colombia</w:t>
      </w:r>
      <w:r w:rsidRPr="00A347C8">
        <w:rPr>
          <w:rFonts w:cstheme="minorHAnsi"/>
          <w:shd w:val="clear" w:color="auto" w:fill="FFFFFF"/>
        </w:rPr>
        <w:t xml:space="preserve">. </w:t>
      </w:r>
      <w:r w:rsidRPr="00A347C8">
        <w:rPr>
          <w:rFonts w:cstheme="minorHAnsi"/>
          <w:i/>
        </w:rPr>
        <w:t>Acuerdo Final para la Terminación del Conflicto y la Construcción de una Paz Estable y Duradera</w:t>
      </w:r>
      <w:r w:rsidRPr="00A347C8">
        <w:rPr>
          <w:rFonts w:cstheme="minorHAnsi"/>
        </w:rPr>
        <w:t>, 24 de noviembre de 2016, Bogotá [fragmentos].</w:t>
      </w:r>
    </w:p>
    <w:p w:rsidR="00BC7FDF" w:rsidRDefault="00BC7FDF" w:rsidP="00297912">
      <w:pPr>
        <w:spacing w:after="120" w:line="240" w:lineRule="auto"/>
        <w:ind w:left="709" w:hanging="709"/>
        <w:jc w:val="both"/>
        <w:rPr>
          <w:rFonts w:cstheme="minorHAnsi"/>
        </w:rPr>
      </w:pPr>
    </w:p>
    <w:p w:rsidR="008C77AC" w:rsidRPr="00B94BC2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b/>
          <w:lang w:val="en-US"/>
        </w:rPr>
      </w:pPr>
      <w:r w:rsidRPr="00B94BC2">
        <w:rPr>
          <w:rFonts w:cstheme="minorHAnsi"/>
          <w:lang w:val="en-US"/>
        </w:rPr>
        <w:t>Séance 10</w:t>
      </w:r>
    </w:p>
    <w:p w:rsidR="008C77AC" w:rsidRDefault="008C77AC" w:rsidP="008C77AC">
      <w:pPr>
        <w:spacing w:after="120" w:line="240" w:lineRule="auto"/>
        <w:ind w:left="709" w:hanging="709"/>
        <w:rPr>
          <w:lang w:val="en-US"/>
        </w:rPr>
      </w:pPr>
      <w:r w:rsidRPr="007E0C20">
        <w:rPr>
          <w:caps/>
          <w:lang w:val="en-US"/>
        </w:rPr>
        <w:t>Parra-Vera</w:t>
      </w:r>
      <w:r w:rsidRPr="007C6F9A">
        <w:rPr>
          <w:lang w:val="en-US"/>
        </w:rPr>
        <w:t xml:space="preserve">, Oscar, “The Special Jurisdiction or Peace and Restorative Justice: First Steps”, </w:t>
      </w:r>
      <w:r>
        <w:rPr>
          <w:lang w:val="en-US"/>
        </w:rPr>
        <w:t xml:space="preserve">in </w:t>
      </w:r>
      <w:r w:rsidRPr="007C6F9A">
        <w:rPr>
          <w:lang w:val="en-US"/>
        </w:rPr>
        <w:t xml:space="preserve">Ambos, Kai; </w:t>
      </w:r>
      <w:proofErr w:type="spellStart"/>
      <w:r w:rsidRPr="007C6F9A">
        <w:rPr>
          <w:lang w:val="en-US"/>
        </w:rPr>
        <w:t>Petersm</w:t>
      </w:r>
      <w:proofErr w:type="spellEnd"/>
      <w:r w:rsidRPr="007C6F9A">
        <w:rPr>
          <w:lang w:val="en-US"/>
        </w:rPr>
        <w:t xml:space="preserve"> Stefan (eds) (2022), </w:t>
      </w:r>
      <w:r w:rsidRPr="007C6F9A">
        <w:rPr>
          <w:i/>
          <w:lang w:val="en-US"/>
        </w:rPr>
        <w:t>Transitional Justice in Colombia. The Special Jurisdiction for Peace</w:t>
      </w:r>
      <w:r w:rsidRPr="007C6F9A">
        <w:rPr>
          <w:lang w:val="en-US"/>
        </w:rPr>
        <w:t>, Baden-Baden: Nomos.</w:t>
      </w:r>
      <w:r>
        <w:rPr>
          <w:lang w:val="en-US"/>
        </w:rPr>
        <w:t xml:space="preserve"> </w:t>
      </w:r>
    </w:p>
    <w:p w:rsidR="008C77AC" w:rsidRPr="00B94BC2" w:rsidRDefault="008C77AC" w:rsidP="008C77AC">
      <w:pPr>
        <w:spacing w:after="120" w:line="240" w:lineRule="auto"/>
        <w:ind w:left="709" w:hanging="709"/>
        <w:rPr>
          <w:b/>
          <w:lang w:val="en-US"/>
        </w:rPr>
      </w:pPr>
      <w:r>
        <w:rPr>
          <w:b/>
          <w:lang w:val="en-US"/>
        </w:rPr>
        <w:t>Lectures</w:t>
      </w:r>
    </w:p>
    <w:p w:rsidR="00CD130F" w:rsidRDefault="00CD130F" w:rsidP="00CD130F">
      <w:pPr>
        <w:spacing w:after="120"/>
        <w:ind w:left="709" w:hanging="709"/>
        <w:jc w:val="both"/>
        <w:rPr>
          <w:rFonts w:cstheme="minorHAnsi"/>
        </w:rPr>
      </w:pPr>
      <w:r w:rsidRPr="005B6036">
        <w:rPr>
          <w:rFonts w:cstheme="minorHAnsi"/>
          <w:caps/>
        </w:rPr>
        <w:t>Amaya-Villarreal</w:t>
      </w:r>
      <w:r w:rsidRPr="00A347C8">
        <w:rPr>
          <w:rFonts w:cstheme="minorHAnsi"/>
        </w:rPr>
        <w:t xml:space="preserve">, Á. y </w:t>
      </w:r>
      <w:r w:rsidRPr="005B6036">
        <w:rPr>
          <w:rFonts w:cstheme="minorHAnsi"/>
          <w:caps/>
        </w:rPr>
        <w:t>Guzmán-Duarte</w:t>
      </w:r>
      <w:r w:rsidRPr="00A347C8">
        <w:rPr>
          <w:rFonts w:cstheme="minorHAnsi"/>
        </w:rPr>
        <w:t>, V.</w:t>
      </w:r>
      <w:r>
        <w:rPr>
          <w:rFonts w:cstheme="minorHAnsi"/>
        </w:rPr>
        <w:t>(2017)</w:t>
      </w:r>
      <w:r w:rsidRPr="00A347C8">
        <w:rPr>
          <w:rFonts w:cstheme="minorHAnsi"/>
        </w:rPr>
        <w:t xml:space="preserve">, “La naturaleza jurídico-internacional de los Acuerdos de Paz y sus consecuencias en la implementación”, 30 </w:t>
      </w:r>
      <w:r w:rsidRPr="00A347C8">
        <w:rPr>
          <w:rFonts w:cstheme="minorHAnsi"/>
          <w:i/>
        </w:rPr>
        <w:t xml:space="preserve">International </w:t>
      </w:r>
      <w:proofErr w:type="spellStart"/>
      <w:r w:rsidRPr="00A347C8">
        <w:rPr>
          <w:rFonts w:cstheme="minorHAnsi"/>
          <w:i/>
        </w:rPr>
        <w:t>Law</w:t>
      </w:r>
      <w:proofErr w:type="spellEnd"/>
      <w:r w:rsidRPr="00A347C8">
        <w:rPr>
          <w:rFonts w:cstheme="minorHAnsi"/>
          <w:i/>
        </w:rPr>
        <w:t>, Revista Colombiana de Derecho Internacional</w:t>
      </w:r>
      <w:r w:rsidRPr="00A347C8">
        <w:rPr>
          <w:rFonts w:cstheme="minorHAnsi"/>
        </w:rPr>
        <w:t xml:space="preserve">, 41-60 (2017). </w:t>
      </w:r>
    </w:p>
    <w:p w:rsidR="00CD130F" w:rsidRPr="00CD130F" w:rsidRDefault="00CD130F" w:rsidP="00CD130F">
      <w:pPr>
        <w:spacing w:after="120" w:line="240" w:lineRule="auto"/>
        <w:ind w:left="709" w:hanging="709"/>
        <w:jc w:val="both"/>
        <w:rPr>
          <w:rFonts w:cstheme="minorHAnsi"/>
        </w:rPr>
      </w:pPr>
      <w:r w:rsidRPr="00CD130F">
        <w:rPr>
          <w:rFonts w:cstheme="minorHAnsi"/>
        </w:rPr>
        <w:t>AMBOS, Kai (2018), “La Ley de Amnistía (Ley 1829 de 2016) y el marco jurídico internacional”, en K. Ambos, F. Cortés Rodas y J. Zuluaga (coord..) Justicia Transicional y Derecho Penal Internacional, Bogotá: Siglo del Hombre Editores, pp. 119-166.</w:t>
      </w:r>
    </w:p>
    <w:p w:rsidR="008C77AC" w:rsidRDefault="00CD130F" w:rsidP="00CD130F">
      <w:pPr>
        <w:spacing w:after="120" w:line="240" w:lineRule="auto"/>
        <w:ind w:left="709" w:hanging="709"/>
        <w:jc w:val="both"/>
        <w:rPr>
          <w:rFonts w:cstheme="minorHAnsi"/>
        </w:rPr>
      </w:pPr>
      <w:r w:rsidRPr="00CD130F">
        <w:rPr>
          <w:rFonts w:cstheme="minorHAnsi"/>
          <w:lang w:val="en-US"/>
        </w:rPr>
        <w:t xml:space="preserve">AMBOS, Kai &amp; Gustavo Emilio COTE BARCO (2022), “International (Criminal) Law as Applicable Law in the Special Jurisdiction for Peace: </w:t>
      </w:r>
      <w:proofErr w:type="spellStart"/>
      <w:r w:rsidRPr="00CD130F">
        <w:rPr>
          <w:rFonts w:cstheme="minorHAnsi"/>
          <w:lang w:val="en-US"/>
        </w:rPr>
        <w:t>Bloque</w:t>
      </w:r>
      <w:proofErr w:type="spellEnd"/>
      <w:r w:rsidRPr="00CD130F">
        <w:rPr>
          <w:rFonts w:cstheme="minorHAnsi"/>
          <w:lang w:val="en-US"/>
        </w:rPr>
        <w:t xml:space="preserve"> de </w:t>
      </w:r>
      <w:proofErr w:type="spellStart"/>
      <w:r w:rsidRPr="00CD130F">
        <w:rPr>
          <w:rFonts w:cstheme="minorHAnsi"/>
          <w:lang w:val="en-US"/>
        </w:rPr>
        <w:t>Constitucionalidad</w:t>
      </w:r>
      <w:proofErr w:type="spellEnd"/>
      <w:r w:rsidRPr="00CD130F">
        <w:rPr>
          <w:rFonts w:cstheme="minorHAnsi"/>
          <w:lang w:val="en-US"/>
        </w:rPr>
        <w:t xml:space="preserve"> and the Principle of Legality” in Ambos, Kai; </w:t>
      </w:r>
      <w:proofErr w:type="spellStart"/>
      <w:r w:rsidRPr="00CD130F">
        <w:rPr>
          <w:rFonts w:cstheme="minorHAnsi"/>
          <w:lang w:val="en-US"/>
        </w:rPr>
        <w:t>Petersm</w:t>
      </w:r>
      <w:proofErr w:type="spellEnd"/>
      <w:r w:rsidRPr="00CD130F">
        <w:rPr>
          <w:rFonts w:cstheme="minorHAnsi"/>
          <w:lang w:val="en-US"/>
        </w:rPr>
        <w:t xml:space="preserve"> Stefan (eds) (2022), Transitional Justice in Colombia. </w:t>
      </w:r>
      <w:proofErr w:type="spellStart"/>
      <w:r w:rsidRPr="00CD130F">
        <w:rPr>
          <w:rFonts w:cstheme="minorHAnsi"/>
        </w:rPr>
        <w:t>The</w:t>
      </w:r>
      <w:proofErr w:type="spellEnd"/>
      <w:r w:rsidRPr="00CD130F">
        <w:rPr>
          <w:rFonts w:cstheme="minorHAnsi"/>
        </w:rPr>
        <w:t xml:space="preserve"> </w:t>
      </w:r>
      <w:proofErr w:type="spellStart"/>
      <w:r w:rsidRPr="00CD130F">
        <w:rPr>
          <w:rFonts w:cstheme="minorHAnsi"/>
        </w:rPr>
        <w:t>Special</w:t>
      </w:r>
      <w:proofErr w:type="spellEnd"/>
      <w:r w:rsidRPr="00CD130F">
        <w:rPr>
          <w:rFonts w:cstheme="minorHAnsi"/>
        </w:rPr>
        <w:t xml:space="preserve"> </w:t>
      </w:r>
      <w:proofErr w:type="spellStart"/>
      <w:r w:rsidRPr="00CD130F">
        <w:rPr>
          <w:rFonts w:cstheme="minorHAnsi"/>
        </w:rPr>
        <w:t>Jurisdiction</w:t>
      </w:r>
      <w:proofErr w:type="spellEnd"/>
      <w:r w:rsidRPr="00CD130F">
        <w:rPr>
          <w:rFonts w:cstheme="minorHAnsi"/>
        </w:rPr>
        <w:t xml:space="preserve"> </w:t>
      </w:r>
      <w:proofErr w:type="spellStart"/>
      <w:r w:rsidRPr="00CD130F">
        <w:rPr>
          <w:rFonts w:cstheme="minorHAnsi"/>
        </w:rPr>
        <w:t>for</w:t>
      </w:r>
      <w:proofErr w:type="spellEnd"/>
      <w:r w:rsidRPr="00CD130F">
        <w:rPr>
          <w:rFonts w:cstheme="minorHAnsi"/>
        </w:rPr>
        <w:t xml:space="preserve"> </w:t>
      </w:r>
      <w:proofErr w:type="spellStart"/>
      <w:r w:rsidRPr="00CD130F">
        <w:rPr>
          <w:rFonts w:cstheme="minorHAnsi"/>
        </w:rPr>
        <w:t>Peace</w:t>
      </w:r>
      <w:proofErr w:type="spellEnd"/>
      <w:r w:rsidRPr="00CD130F">
        <w:rPr>
          <w:rFonts w:cstheme="minorHAnsi"/>
        </w:rPr>
        <w:t>, Baden-Baden: Nomos.</w:t>
      </w:r>
    </w:p>
    <w:p w:rsidR="00CD130F" w:rsidRPr="00B94BC2" w:rsidRDefault="00CD130F" w:rsidP="00CD130F">
      <w:pPr>
        <w:spacing w:after="120" w:line="240" w:lineRule="auto"/>
        <w:ind w:left="709" w:hanging="709"/>
        <w:rPr>
          <w:lang w:val="en-US"/>
        </w:rPr>
      </w:pPr>
      <w:r w:rsidRPr="007E0C20">
        <w:rPr>
          <w:caps/>
          <w:lang w:val="en-US"/>
        </w:rPr>
        <w:t>Tarapués Sandino</w:t>
      </w:r>
      <w:r w:rsidRPr="007047C2">
        <w:rPr>
          <w:lang w:val="en-US"/>
        </w:rPr>
        <w:t xml:space="preserve">, Diego Fernando (2022), “The Special Jurisdiction for Peace and Sui Generis Transitional Justice”, </w:t>
      </w:r>
      <w:r>
        <w:rPr>
          <w:lang w:val="en-US"/>
        </w:rPr>
        <w:t>in</w:t>
      </w:r>
      <w:r w:rsidRPr="007047C2">
        <w:rPr>
          <w:lang w:val="en-US"/>
        </w:rPr>
        <w:t xml:space="preserve"> Ambos, Kai; </w:t>
      </w:r>
      <w:proofErr w:type="spellStart"/>
      <w:r w:rsidRPr="007047C2">
        <w:rPr>
          <w:lang w:val="en-US"/>
        </w:rPr>
        <w:t>Petersm</w:t>
      </w:r>
      <w:proofErr w:type="spellEnd"/>
      <w:r w:rsidRPr="007047C2">
        <w:rPr>
          <w:lang w:val="en-US"/>
        </w:rPr>
        <w:t xml:space="preserve"> Stefan (eds)</w:t>
      </w:r>
      <w:r>
        <w:rPr>
          <w:lang w:val="en-US"/>
        </w:rPr>
        <w:t xml:space="preserve"> (2022), </w:t>
      </w:r>
      <w:r>
        <w:rPr>
          <w:i/>
          <w:lang w:val="en-US"/>
        </w:rPr>
        <w:t xml:space="preserve">Transitional Justice in Colombia. </w:t>
      </w:r>
      <w:r w:rsidRPr="00B94BC2">
        <w:rPr>
          <w:i/>
          <w:lang w:val="en-US"/>
        </w:rPr>
        <w:t>The Special Jurisdiction for Peace</w:t>
      </w:r>
      <w:r w:rsidRPr="00B94BC2">
        <w:rPr>
          <w:lang w:val="en-US"/>
        </w:rPr>
        <w:t>, Baden-Baden: Nomos, pp. 63-83.</w:t>
      </w:r>
    </w:p>
    <w:p w:rsidR="00CD130F" w:rsidRPr="00CD130F" w:rsidRDefault="00CD130F" w:rsidP="00CD130F">
      <w:pPr>
        <w:spacing w:after="120" w:line="240" w:lineRule="auto"/>
        <w:ind w:left="709" w:hanging="709"/>
        <w:jc w:val="both"/>
        <w:rPr>
          <w:rFonts w:cstheme="minorHAnsi"/>
          <w:lang w:val="en-US"/>
        </w:rPr>
      </w:pPr>
    </w:p>
    <w:p w:rsidR="008C77AC" w:rsidRPr="00CD130F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both"/>
        <w:rPr>
          <w:rFonts w:cstheme="minorHAnsi"/>
          <w:lang w:val="en-US"/>
        </w:rPr>
      </w:pPr>
      <w:r w:rsidRPr="00CD130F">
        <w:rPr>
          <w:rFonts w:cstheme="minorHAnsi"/>
          <w:lang w:val="en-US"/>
        </w:rPr>
        <w:t>Séance 11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b/>
          <w:color w:val="323232"/>
          <w:shd w:val="clear" w:color="auto" w:fill="FFFFFF"/>
          <w:lang w:val="fr-FR"/>
        </w:rPr>
      </w:pPr>
      <w:r w:rsidRPr="007E0C20">
        <w:rPr>
          <w:b/>
          <w:color w:val="323232"/>
          <w:shd w:val="clear" w:color="auto" w:fill="FFFFFF"/>
          <w:lang w:val="fr-FR"/>
        </w:rPr>
        <w:t>Séance de débat</w:t>
      </w:r>
      <w:r w:rsidR="00D214E6">
        <w:rPr>
          <w:b/>
          <w:color w:val="323232"/>
          <w:shd w:val="clear" w:color="auto" w:fill="FFFFFF"/>
          <w:lang w:val="fr-FR"/>
        </w:rPr>
        <w:t xml:space="preserve"> et analyse</w:t>
      </w:r>
    </w:p>
    <w:p w:rsidR="008C77AC" w:rsidRPr="007E0C20" w:rsidRDefault="008C77AC" w:rsidP="008C77AC">
      <w:pPr>
        <w:spacing w:after="120" w:line="240" w:lineRule="auto"/>
        <w:ind w:left="709" w:hanging="709"/>
        <w:jc w:val="both"/>
        <w:rPr>
          <w:b/>
          <w:color w:val="323232"/>
          <w:shd w:val="clear" w:color="auto" w:fill="FFFFFF"/>
          <w:lang w:val="fr-FR"/>
        </w:rPr>
      </w:pPr>
      <w:r>
        <w:rPr>
          <w:b/>
          <w:color w:val="323232"/>
          <w:shd w:val="clear" w:color="auto" w:fill="FFFFFF"/>
          <w:lang w:val="fr-FR"/>
        </w:rPr>
        <w:t xml:space="preserve">Lectures </w:t>
      </w:r>
      <w:r w:rsidR="00BC7FDF">
        <w:rPr>
          <w:b/>
          <w:color w:val="323232"/>
          <w:shd w:val="clear" w:color="auto" w:fill="FFFFFF"/>
          <w:lang w:val="fr-FR"/>
        </w:rPr>
        <w:t>pour le débat</w:t>
      </w:r>
    </w:p>
    <w:p w:rsidR="008C77AC" w:rsidRPr="00E33C1F" w:rsidRDefault="008C77AC" w:rsidP="008C77AC">
      <w:pPr>
        <w:spacing w:after="120" w:line="240" w:lineRule="auto"/>
        <w:ind w:left="709" w:hanging="709"/>
        <w:jc w:val="both"/>
        <w:rPr>
          <w:rFonts w:cstheme="minorHAnsi"/>
          <w:lang w:val="fr-FR"/>
        </w:rPr>
      </w:pPr>
      <w:r w:rsidRPr="007E0C20">
        <w:rPr>
          <w:color w:val="323232"/>
          <w:shd w:val="clear" w:color="auto" w:fill="FFFFFF"/>
          <w:lang w:val="fr-FR"/>
        </w:rPr>
        <w:t>HILB Claudia (2012), « Argentine : ni oubli ni pardon ? », </w:t>
      </w:r>
      <w:r w:rsidRPr="007E0C20">
        <w:rPr>
          <w:i/>
          <w:iCs/>
          <w:color w:val="323232"/>
          <w:shd w:val="clear" w:color="auto" w:fill="FFFFFF"/>
          <w:lang w:val="fr-FR"/>
        </w:rPr>
        <w:t>Revue internationale et stratégique</w:t>
      </w:r>
      <w:r w:rsidRPr="007E0C20">
        <w:rPr>
          <w:color w:val="323232"/>
          <w:shd w:val="clear" w:color="auto" w:fill="FFFFFF"/>
          <w:lang w:val="fr-FR"/>
        </w:rPr>
        <w:t xml:space="preserve">, 2012/4 (n° 88), p. 109-116. DOI : 10.3917/ris.088.0109. </w:t>
      </w:r>
      <w:r w:rsidRPr="00E33C1F">
        <w:rPr>
          <w:color w:val="323232"/>
          <w:shd w:val="clear" w:color="auto" w:fill="FFFFFF"/>
          <w:lang w:val="fr-FR"/>
        </w:rPr>
        <w:t xml:space="preserve">URL : </w:t>
      </w:r>
      <w:hyperlink r:id="rId25" w:history="1">
        <w:r w:rsidRPr="00E33C1F">
          <w:rPr>
            <w:rStyle w:val="Lienhypertexte"/>
            <w:shd w:val="clear" w:color="auto" w:fill="FFFFFF"/>
            <w:lang w:val="fr-FR"/>
          </w:rPr>
          <w:t>https://www.cairn.info/revue-internationale-et-strategique-2012-4-page-109.htm</w:t>
        </w:r>
      </w:hyperlink>
      <w:r w:rsidRPr="00E33C1F">
        <w:rPr>
          <w:color w:val="323232"/>
          <w:shd w:val="clear" w:color="auto" w:fill="FFFFFF"/>
          <w:lang w:val="fr-FR"/>
        </w:rPr>
        <w:t xml:space="preserve"> 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bCs/>
          <w:color w:val="000000"/>
          <w:shd w:val="clear" w:color="auto" w:fill="FFFFFF"/>
        </w:rPr>
      </w:pPr>
      <w:r w:rsidRPr="007E0C20">
        <w:rPr>
          <w:rFonts w:cstheme="minorHAnsi"/>
          <w:bCs/>
          <w:caps/>
          <w:color w:val="000000"/>
          <w:shd w:val="clear" w:color="auto" w:fill="FFFFFF"/>
        </w:rPr>
        <w:t>Organización de las Naciones Unidas</w:t>
      </w:r>
      <w:r w:rsidRPr="00A347C8">
        <w:rPr>
          <w:rFonts w:cstheme="minorHAnsi"/>
          <w:bCs/>
          <w:color w:val="000000"/>
          <w:shd w:val="clear" w:color="auto" w:fill="FFFFFF"/>
        </w:rPr>
        <w:t xml:space="preserve">. </w:t>
      </w:r>
      <w:r w:rsidRPr="00A347C8">
        <w:rPr>
          <w:rFonts w:cstheme="minorHAnsi"/>
          <w:bCs/>
          <w:i/>
          <w:color w:val="000000"/>
          <w:shd w:val="clear" w:color="auto" w:fill="FFFFFF"/>
        </w:rPr>
        <w:t>Informe de la Oficina de las Naciones Unidas para los Derechos Humanos sobre Venezuela insta a adoptar de inmediato medidas para detener y remediar graves violaciones de derechos</w:t>
      </w:r>
      <w:r w:rsidRPr="00A347C8">
        <w:rPr>
          <w:rFonts w:cstheme="minorHAnsi"/>
          <w:bCs/>
          <w:color w:val="000000"/>
          <w:shd w:val="clear" w:color="auto" w:fill="FFFFFF"/>
        </w:rPr>
        <w:t>, Ginebra, 4 de julio de 2019 (“Informe Bachelet”).</w:t>
      </w:r>
      <w:r>
        <w:rPr>
          <w:rFonts w:cstheme="minorHAnsi"/>
          <w:bCs/>
          <w:color w:val="000000"/>
          <w:shd w:val="clear" w:color="auto" w:fill="FFFFFF"/>
        </w:rPr>
        <w:t xml:space="preserve"> [</w:t>
      </w:r>
      <w:proofErr w:type="spellStart"/>
      <w:r w:rsidRPr="007E0C20">
        <w:rPr>
          <w:rFonts w:cstheme="minorHAnsi"/>
          <w:bCs/>
          <w:i/>
          <w:color w:val="000000"/>
          <w:shd w:val="clear" w:color="auto" w:fill="FFFFFF"/>
        </w:rPr>
        <w:t>Traduction</w:t>
      </w:r>
      <w:proofErr w:type="spellEnd"/>
      <w:r w:rsidRPr="007E0C20">
        <w:rPr>
          <w:rFonts w:cstheme="minorHAnsi"/>
          <w:bCs/>
          <w:i/>
          <w:color w:val="000000"/>
          <w:shd w:val="clear" w:color="auto" w:fill="FFFFFF"/>
        </w:rPr>
        <w:t xml:space="preserve"> en </w:t>
      </w:r>
      <w:proofErr w:type="spellStart"/>
      <w:r w:rsidRPr="007E0C20">
        <w:rPr>
          <w:rFonts w:cstheme="minorHAnsi"/>
          <w:bCs/>
          <w:i/>
          <w:color w:val="000000"/>
          <w:shd w:val="clear" w:color="auto" w:fill="FFFFFF"/>
        </w:rPr>
        <w:t>d’autres</w:t>
      </w:r>
      <w:proofErr w:type="spellEnd"/>
      <w:r w:rsidRPr="007E0C20">
        <w:rPr>
          <w:rFonts w:cstheme="minorHAnsi"/>
          <w:bCs/>
          <w:i/>
          <w:color w:val="000000"/>
          <w:shd w:val="clear" w:color="auto" w:fill="FFFFFF"/>
        </w:rPr>
        <w:t xml:space="preserve"> </w:t>
      </w:r>
      <w:proofErr w:type="spellStart"/>
      <w:r w:rsidRPr="007E0C20">
        <w:rPr>
          <w:rFonts w:cstheme="minorHAnsi"/>
          <w:bCs/>
          <w:i/>
          <w:color w:val="000000"/>
          <w:shd w:val="clear" w:color="auto" w:fill="FFFFFF"/>
        </w:rPr>
        <w:t>langues</w:t>
      </w:r>
      <w:proofErr w:type="spellEnd"/>
      <w:r w:rsidRPr="007E0C20">
        <w:rPr>
          <w:rFonts w:cstheme="minorHAnsi"/>
          <w:bCs/>
          <w:i/>
          <w:color w:val="000000"/>
          <w:shd w:val="clear" w:color="auto" w:fill="FFFFFF"/>
        </w:rPr>
        <w:t xml:space="preserve"> disponibles</w:t>
      </w:r>
      <w:r>
        <w:rPr>
          <w:rFonts w:cstheme="minorHAnsi"/>
          <w:bCs/>
          <w:color w:val="000000"/>
          <w:shd w:val="clear" w:color="auto" w:fill="FFFFFF"/>
        </w:rPr>
        <w:t>]</w:t>
      </w:r>
    </w:p>
    <w:p w:rsidR="00E82C4B" w:rsidRPr="00E82C4B" w:rsidRDefault="00E82C4B" w:rsidP="00E82C4B">
      <w:pPr>
        <w:spacing w:after="120" w:line="240" w:lineRule="auto"/>
        <w:ind w:left="709" w:hanging="709"/>
        <w:jc w:val="both"/>
        <w:rPr>
          <w:rFonts w:cstheme="minorHAnsi"/>
          <w:bCs/>
          <w:color w:val="000000"/>
          <w:shd w:val="clear" w:color="auto" w:fill="FFFFFF"/>
          <w:lang w:val="fr-FR"/>
        </w:rPr>
      </w:pPr>
      <w:r w:rsidRPr="00E82C4B">
        <w:rPr>
          <w:rFonts w:cstheme="minorHAnsi"/>
          <w:bCs/>
          <w:color w:val="000000"/>
          <w:shd w:val="clear" w:color="auto" w:fill="FFFFFF"/>
          <w:lang w:val="fr-FR"/>
        </w:rPr>
        <w:t>P</w:t>
      </w:r>
      <w:r>
        <w:rPr>
          <w:rFonts w:cstheme="minorHAnsi"/>
          <w:bCs/>
          <w:color w:val="000000"/>
          <w:shd w:val="clear" w:color="auto" w:fill="FFFFFF"/>
          <w:lang w:val="fr-FR"/>
        </w:rPr>
        <w:t>ÉCAUT</w:t>
      </w:r>
      <w:r w:rsidRPr="00E82C4B">
        <w:rPr>
          <w:rFonts w:cstheme="minorHAnsi"/>
          <w:bCs/>
          <w:color w:val="000000"/>
          <w:shd w:val="clear" w:color="auto" w:fill="FFFFFF"/>
          <w:lang w:val="fr-FR"/>
        </w:rPr>
        <w:t>, D. (2021). La Colombie, une nation fragmentée. Esprit (Paris. 1932), 480(12), 119</w:t>
      </w:r>
      <w:r w:rsidRPr="00E82C4B">
        <w:rPr>
          <w:rFonts w:ascii="Cambria Math" w:hAnsi="Cambria Math" w:cstheme="minorHAnsi"/>
          <w:bCs/>
          <w:color w:val="000000"/>
          <w:shd w:val="clear" w:color="auto" w:fill="FFFFFF"/>
          <w:lang w:val="fr-FR"/>
        </w:rPr>
        <w:t>‑</w:t>
      </w:r>
      <w:r w:rsidRPr="00E82C4B">
        <w:rPr>
          <w:rFonts w:cstheme="minorHAnsi"/>
          <w:bCs/>
          <w:color w:val="000000"/>
          <w:shd w:val="clear" w:color="auto" w:fill="FFFFFF"/>
          <w:lang w:val="fr-FR"/>
        </w:rPr>
        <w:t>129. https://doi.org/10.3917/espri.2112.0119</w:t>
      </w:r>
    </w:p>
    <w:p w:rsidR="008C77AC" w:rsidRPr="00B94BC2" w:rsidRDefault="008C77AC" w:rsidP="008C77AC">
      <w:pPr>
        <w:spacing w:after="120" w:line="240" w:lineRule="auto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Lectures</w:t>
      </w:r>
      <w:proofErr w:type="spellEnd"/>
      <w:r>
        <w:rPr>
          <w:rFonts w:cstheme="minorHAnsi"/>
          <w:b/>
        </w:rPr>
        <w:t xml:space="preserve"> </w:t>
      </w:r>
      <w:proofErr w:type="spellStart"/>
      <w:r w:rsidR="0055168B">
        <w:rPr>
          <w:rFonts w:cstheme="minorHAnsi"/>
          <w:b/>
        </w:rPr>
        <w:t>recommandées</w:t>
      </w:r>
      <w:proofErr w:type="spellEnd"/>
    </w:p>
    <w:p w:rsidR="0055168B" w:rsidRDefault="008C77AC" w:rsidP="0055168B">
      <w:pPr>
        <w:spacing w:after="120" w:line="240" w:lineRule="auto"/>
        <w:ind w:left="709" w:hanging="709"/>
        <w:jc w:val="both"/>
      </w:pPr>
      <w:r>
        <w:rPr>
          <w:rFonts w:cstheme="minorHAnsi"/>
          <w:lang w:val="es-ES"/>
        </w:rPr>
        <w:lastRenderedPageBreak/>
        <w:t>HILB</w:t>
      </w:r>
      <w:r w:rsidRPr="0000474E">
        <w:rPr>
          <w:rFonts w:cstheme="minorHAnsi"/>
          <w:lang w:val="es-ES"/>
        </w:rPr>
        <w:t xml:space="preserve">, Claudia: “La virtud de la justicia y su precio en verdad. Una reflexión sobre los Juicios a las Juntas en Argentina, a la luz de la Comisión de la Verdad y la Reconciliación en Sudáfrica”, en </w:t>
      </w:r>
      <w:r w:rsidRPr="0000474E">
        <w:rPr>
          <w:rFonts w:cstheme="minorHAnsi"/>
          <w:i/>
          <w:lang w:val="es-ES"/>
        </w:rPr>
        <w:t>Usos del pasado. Qué hacemos hoy con los setenta.</w:t>
      </w:r>
      <w:r w:rsidRPr="0000474E">
        <w:rPr>
          <w:rFonts w:cstheme="minorHAnsi"/>
          <w:lang w:val="es-ES"/>
        </w:rPr>
        <w:t xml:space="preserve"> </w:t>
      </w:r>
      <w:r w:rsidRPr="0000474E">
        <w:rPr>
          <w:rFonts w:cstheme="minorHAnsi"/>
        </w:rPr>
        <w:t>Siglo XXI, 2013, Buenos Aires, pp. 93-107.</w:t>
      </w:r>
      <w:r w:rsidR="0055168B" w:rsidRPr="0055168B">
        <w:t xml:space="preserve"> </w:t>
      </w:r>
    </w:p>
    <w:p w:rsidR="0055168B" w:rsidRPr="0055168B" w:rsidRDefault="00D214E6" w:rsidP="0055168B">
      <w:pPr>
        <w:spacing w:after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LÓPEZ</w:t>
      </w:r>
      <w:r w:rsidR="0055168B" w:rsidRPr="0055168B">
        <w:rPr>
          <w:rFonts w:cstheme="minorHAnsi"/>
        </w:rPr>
        <w:t xml:space="preserve"> </w:t>
      </w:r>
      <w:r>
        <w:rPr>
          <w:rFonts w:cstheme="minorHAnsi"/>
        </w:rPr>
        <w:t>MAYA</w:t>
      </w:r>
      <w:r w:rsidR="0055168B" w:rsidRPr="0055168B">
        <w:rPr>
          <w:rFonts w:cstheme="minorHAnsi"/>
        </w:rPr>
        <w:t xml:space="preserve">, M. (2016). </w:t>
      </w:r>
      <w:r w:rsidR="0055168B">
        <w:rPr>
          <w:rFonts w:cstheme="minorHAnsi"/>
        </w:rPr>
        <w:t>“</w:t>
      </w:r>
      <w:r w:rsidR="0055168B" w:rsidRPr="0055168B">
        <w:rPr>
          <w:rFonts w:cstheme="minorHAnsi"/>
        </w:rPr>
        <w:t>La crisis del chavismo en la Venezuela actual</w:t>
      </w:r>
      <w:r w:rsidR="0055168B">
        <w:rPr>
          <w:rFonts w:cstheme="minorHAnsi"/>
        </w:rPr>
        <w:t>”</w:t>
      </w:r>
      <w:r w:rsidR="0055168B" w:rsidRPr="0055168B">
        <w:rPr>
          <w:rFonts w:cstheme="minorHAnsi"/>
        </w:rPr>
        <w:t xml:space="preserve">. </w:t>
      </w:r>
      <w:r w:rsidR="0055168B" w:rsidRPr="0055168B">
        <w:rPr>
          <w:rFonts w:cstheme="minorHAnsi"/>
          <w:i/>
        </w:rPr>
        <w:t>Estudios Latinoamericanos</w:t>
      </w:r>
      <w:r w:rsidR="0055168B" w:rsidRPr="0055168B">
        <w:rPr>
          <w:rFonts w:cstheme="minorHAnsi"/>
        </w:rPr>
        <w:t xml:space="preserve">, (38), 159–185. </w:t>
      </w:r>
      <w:hyperlink r:id="rId26" w:history="1">
        <w:r w:rsidR="0055168B" w:rsidRPr="001A7B93">
          <w:rPr>
            <w:rStyle w:val="Lienhypertexte"/>
            <w:rFonts w:cstheme="minorHAnsi"/>
          </w:rPr>
          <w:t>https://doi.org/10.22201/cela.24484946e.2016.38.57462</w:t>
        </w:r>
      </w:hyperlink>
      <w:r w:rsidR="0055168B">
        <w:rPr>
          <w:rFonts w:cstheme="minorHAnsi"/>
        </w:rPr>
        <w:t xml:space="preserve"> </w:t>
      </w:r>
    </w:p>
    <w:p w:rsidR="008C77AC" w:rsidRPr="00BC7FDF" w:rsidRDefault="00D214E6" w:rsidP="0055168B">
      <w:pPr>
        <w:spacing w:after="120" w:line="240" w:lineRule="auto"/>
        <w:ind w:left="709" w:hanging="709"/>
        <w:jc w:val="both"/>
        <w:rPr>
          <w:rFonts w:cstheme="minorHAnsi"/>
          <w:lang w:val="fr-FR"/>
        </w:rPr>
      </w:pPr>
      <w:r>
        <w:rPr>
          <w:rFonts w:cstheme="minorHAnsi"/>
        </w:rPr>
        <w:t>LÓPEZ</w:t>
      </w:r>
      <w:r w:rsidRPr="0055168B">
        <w:rPr>
          <w:rFonts w:cstheme="minorHAnsi"/>
        </w:rPr>
        <w:t xml:space="preserve"> </w:t>
      </w:r>
      <w:r>
        <w:rPr>
          <w:rFonts w:cstheme="minorHAnsi"/>
        </w:rPr>
        <w:t>MAYA</w:t>
      </w:r>
      <w:r w:rsidR="0055168B" w:rsidRPr="0055168B">
        <w:rPr>
          <w:rFonts w:cstheme="minorHAnsi"/>
        </w:rPr>
        <w:t xml:space="preserve">, Margarita (2016), </w:t>
      </w:r>
      <w:r w:rsidR="0055168B" w:rsidRPr="0055168B">
        <w:rPr>
          <w:rFonts w:cstheme="minorHAnsi"/>
          <w:i/>
        </w:rPr>
        <w:t xml:space="preserve">El ocaso del chavismo. </w:t>
      </w:r>
      <w:r w:rsidR="0055168B" w:rsidRPr="00BC7FDF">
        <w:rPr>
          <w:rFonts w:cstheme="minorHAnsi"/>
          <w:i/>
          <w:lang w:val="fr-FR"/>
        </w:rPr>
        <w:t>Venezuela 2005-2015</w:t>
      </w:r>
      <w:r w:rsidR="0055168B" w:rsidRPr="00BC7FDF">
        <w:rPr>
          <w:rFonts w:cstheme="minorHAnsi"/>
          <w:lang w:val="fr-FR"/>
        </w:rPr>
        <w:t>, Editorial Alfa, 2016, Caracas.</w:t>
      </w:r>
    </w:p>
    <w:p w:rsidR="00BC7FDF" w:rsidRPr="00E534EF" w:rsidRDefault="00BC7FDF" w:rsidP="00BC7FDF">
      <w:pPr>
        <w:spacing w:after="120" w:line="240" w:lineRule="auto"/>
        <w:ind w:left="709" w:hanging="709"/>
        <w:jc w:val="both"/>
        <w:rPr>
          <w:rFonts w:cstheme="minorHAnsi"/>
          <w:color w:val="0000FF" w:themeColor="hyperlink"/>
          <w:u w:val="single"/>
        </w:rPr>
      </w:pPr>
      <w:r w:rsidRPr="00BC7FDF">
        <w:rPr>
          <w:rFonts w:cstheme="minorHAnsi"/>
          <w:caps/>
        </w:rPr>
        <w:t>López Maya</w:t>
      </w:r>
      <w:r w:rsidRPr="00BC7FDF">
        <w:rPr>
          <w:rFonts w:cstheme="minorHAnsi"/>
        </w:rPr>
        <w:t>, Margarita “Venezuela 2019: nuevo intento por alcanzar la transición democrática</w:t>
      </w:r>
      <w:r w:rsidRPr="00E534EF">
        <w:rPr>
          <w:rFonts w:cstheme="minorHAnsi"/>
        </w:rPr>
        <w:t xml:space="preserve">”, </w:t>
      </w:r>
      <w:proofErr w:type="spellStart"/>
      <w:r w:rsidRPr="00E534EF">
        <w:rPr>
          <w:rFonts w:cstheme="minorHAnsi"/>
        </w:rPr>
        <w:t>Prodavinci</w:t>
      </w:r>
      <w:proofErr w:type="spellEnd"/>
      <w:r w:rsidRPr="00E534EF">
        <w:rPr>
          <w:rFonts w:cstheme="minorHAnsi"/>
        </w:rPr>
        <w:t>, 21/01/2019,</w:t>
      </w:r>
      <w:r w:rsidRPr="00EC7036">
        <w:rPr>
          <w:rFonts w:cstheme="minorHAnsi"/>
          <w:b/>
        </w:rPr>
        <w:t xml:space="preserve"> </w:t>
      </w:r>
      <w:hyperlink r:id="rId27" w:history="1">
        <w:r w:rsidRPr="00EC7036">
          <w:rPr>
            <w:rStyle w:val="Lienhypertexte"/>
            <w:rFonts w:cstheme="minorHAnsi"/>
          </w:rPr>
          <w:t>https://prodavinci.com/venezuela-2019-nuevo-intento-por-alcanzar-la-transicion-democratica/</w:t>
        </w:r>
      </w:hyperlink>
    </w:p>
    <w:p w:rsidR="008C77AC" w:rsidRPr="00B406B0" w:rsidRDefault="008C77AC" w:rsidP="008C77AC">
      <w:pPr>
        <w:spacing w:after="120" w:line="240" w:lineRule="auto"/>
        <w:ind w:left="709" w:hanging="709"/>
        <w:jc w:val="both"/>
        <w:rPr>
          <w:lang w:val="fr-FR"/>
        </w:rPr>
      </w:pPr>
      <w:r w:rsidRPr="00B406B0">
        <w:rPr>
          <w:caps/>
          <w:lang w:val="fr-FR"/>
        </w:rPr>
        <w:t xml:space="preserve">Nations Unies, </w:t>
      </w:r>
      <w:r w:rsidRPr="00B406B0">
        <w:rPr>
          <w:lang w:val="fr-FR"/>
        </w:rPr>
        <w:t>Conseil des droits de l’homme</w:t>
      </w:r>
      <w:r>
        <w:rPr>
          <w:lang w:val="fr-FR"/>
        </w:rPr>
        <w:t xml:space="preserve">, </w:t>
      </w:r>
      <w:r w:rsidRPr="00B406B0">
        <w:rPr>
          <w:i/>
          <w:lang w:val="fr-FR"/>
        </w:rPr>
        <w:t>Rapport de la mission internationale indépendante d’établissement des faits sur la République bolivarienne du Venezuela</w:t>
      </w:r>
      <w:r w:rsidRPr="00B406B0">
        <w:rPr>
          <w:lang w:val="fr-FR"/>
        </w:rPr>
        <w:t xml:space="preserve">, 15 </w:t>
      </w:r>
      <w:r>
        <w:rPr>
          <w:lang w:val="fr-FR"/>
        </w:rPr>
        <w:t xml:space="preserve">décembre 2023, </w:t>
      </w:r>
      <w:hyperlink r:id="rId28" w:history="1">
        <w:r w:rsidRPr="008C77AC">
          <w:rPr>
            <w:rStyle w:val="Lienhypertexte"/>
            <w:rFonts w:cstheme="minorHAnsi"/>
            <w:lang w:val="fr-FR"/>
          </w:rPr>
          <w:t>https://documents.un.org/doc/undoc/gen/g23/188/35/pdf/g2318835.pdf</w:t>
        </w:r>
      </w:hyperlink>
    </w:p>
    <w:p w:rsidR="008C77AC" w:rsidRPr="00B406B0" w:rsidRDefault="008C77AC" w:rsidP="008C77AC">
      <w:pPr>
        <w:spacing w:after="120" w:line="240" w:lineRule="auto"/>
        <w:jc w:val="both"/>
        <w:rPr>
          <w:rFonts w:cstheme="minorHAnsi"/>
          <w:lang w:val="fr-FR"/>
        </w:rPr>
      </w:pPr>
    </w:p>
    <w:p w:rsidR="008C77AC" w:rsidRPr="007E0C20" w:rsidRDefault="008C77AC" w:rsidP="008C7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 w:hanging="709"/>
        <w:jc w:val="both"/>
        <w:rPr>
          <w:rFonts w:cstheme="minorHAnsi"/>
          <w:b/>
          <w:smallCaps/>
          <w:sz w:val="24"/>
          <w:szCs w:val="24"/>
          <w:shd w:val="clear" w:color="auto" w:fill="FFFFFF"/>
        </w:rPr>
      </w:pPr>
      <w:proofErr w:type="spellStart"/>
      <w:r w:rsidRPr="007E0C20">
        <w:rPr>
          <w:rFonts w:cstheme="minorHAnsi"/>
          <w:b/>
          <w:smallCaps/>
          <w:sz w:val="24"/>
          <w:szCs w:val="24"/>
          <w:shd w:val="clear" w:color="auto" w:fill="FFFFFF"/>
        </w:rPr>
        <w:t>Séance</w:t>
      </w:r>
      <w:proofErr w:type="spellEnd"/>
      <w:r w:rsidRPr="007E0C20">
        <w:rPr>
          <w:rFonts w:cstheme="minorHAnsi"/>
          <w:b/>
          <w:smallCaps/>
          <w:sz w:val="24"/>
          <w:szCs w:val="24"/>
          <w:shd w:val="clear" w:color="auto" w:fill="FFFFFF"/>
        </w:rPr>
        <w:t xml:space="preserve"> 12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color w:val="FF0000"/>
          <w:shd w:val="clear" w:color="auto" w:fill="FFFFFF"/>
        </w:rPr>
      </w:pPr>
      <w:proofErr w:type="spellStart"/>
      <w:r>
        <w:rPr>
          <w:rFonts w:cstheme="minorHAnsi"/>
          <w:color w:val="FF0000"/>
          <w:shd w:val="clear" w:color="auto" w:fill="FFFFFF"/>
        </w:rPr>
        <w:t>Évaluation</w:t>
      </w:r>
      <w:proofErr w:type="spellEnd"/>
      <w:r>
        <w:rPr>
          <w:rFonts w:cstheme="minorHAnsi"/>
          <w:color w:val="FF0000"/>
          <w:shd w:val="clear" w:color="auto" w:fill="FFFFFF"/>
        </w:rPr>
        <w:t>.</w:t>
      </w:r>
    </w:p>
    <w:p w:rsidR="008C77AC" w:rsidRDefault="008C77AC" w:rsidP="008C77AC">
      <w:pPr>
        <w:spacing w:after="120" w:line="240" w:lineRule="auto"/>
        <w:ind w:left="709" w:hanging="709"/>
        <w:jc w:val="both"/>
        <w:rPr>
          <w:rFonts w:cstheme="minorHAnsi"/>
          <w:shd w:val="clear" w:color="auto" w:fill="FFFFFF"/>
        </w:rPr>
      </w:pPr>
    </w:p>
    <w:p w:rsidR="008C77AC" w:rsidRPr="00E72C00" w:rsidRDefault="008C77AC" w:rsidP="008C77AC">
      <w:pPr>
        <w:spacing w:after="120" w:line="240" w:lineRule="auto"/>
        <w:ind w:left="709" w:hanging="709"/>
        <w:jc w:val="both"/>
        <w:rPr>
          <w:rFonts w:cstheme="minorHAnsi"/>
          <w:shd w:val="clear" w:color="auto" w:fill="FFFFFF"/>
        </w:rPr>
      </w:pPr>
    </w:p>
    <w:p w:rsidR="008C77AC" w:rsidRPr="0000474E" w:rsidRDefault="008C77AC" w:rsidP="0061771B">
      <w:pPr>
        <w:spacing w:after="120" w:line="240" w:lineRule="auto"/>
        <w:ind w:left="454" w:hanging="454"/>
        <w:jc w:val="both"/>
        <w:rPr>
          <w:rFonts w:eastAsia="Times New Roman" w:cstheme="minorHAnsi"/>
          <w:iCs/>
          <w:lang w:eastAsia="es-AR"/>
        </w:rPr>
      </w:pPr>
    </w:p>
    <w:p w:rsidR="0061771B" w:rsidRPr="001E1A9E" w:rsidRDefault="0061771B" w:rsidP="0061771B"/>
    <w:p w:rsidR="00CD16FB" w:rsidRDefault="00CD16FB"/>
    <w:sectPr w:rsidR="00CD1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utura Lt BT">
    <w:altName w:val="Futura Lt BT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305"/>
    <w:multiLevelType w:val="hybridMultilevel"/>
    <w:tmpl w:val="166EE6EC"/>
    <w:lvl w:ilvl="0" w:tplc="2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12B81"/>
    <w:multiLevelType w:val="hybridMultilevel"/>
    <w:tmpl w:val="52366BD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20483"/>
    <w:multiLevelType w:val="hybridMultilevel"/>
    <w:tmpl w:val="F578BB82"/>
    <w:lvl w:ilvl="0" w:tplc="17E618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D664E"/>
    <w:multiLevelType w:val="hybridMultilevel"/>
    <w:tmpl w:val="2C145054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FB0AB8"/>
    <w:multiLevelType w:val="hybridMultilevel"/>
    <w:tmpl w:val="B456DD4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940F7"/>
    <w:multiLevelType w:val="hybridMultilevel"/>
    <w:tmpl w:val="5F1E9A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5203">
    <w:abstractNumId w:val="5"/>
  </w:num>
  <w:num w:numId="2" w16cid:durableId="552696497">
    <w:abstractNumId w:val="1"/>
  </w:num>
  <w:num w:numId="3" w16cid:durableId="137963026">
    <w:abstractNumId w:val="4"/>
  </w:num>
  <w:num w:numId="4" w16cid:durableId="93400314">
    <w:abstractNumId w:val="0"/>
  </w:num>
  <w:num w:numId="5" w16cid:durableId="503593645">
    <w:abstractNumId w:val="2"/>
  </w:num>
  <w:num w:numId="6" w16cid:durableId="906959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26"/>
    <w:rsid w:val="000E589E"/>
    <w:rsid w:val="00187346"/>
    <w:rsid w:val="001A0526"/>
    <w:rsid w:val="00297912"/>
    <w:rsid w:val="002A1867"/>
    <w:rsid w:val="002B09D0"/>
    <w:rsid w:val="002C4822"/>
    <w:rsid w:val="00373A0B"/>
    <w:rsid w:val="003A1926"/>
    <w:rsid w:val="003B6623"/>
    <w:rsid w:val="003E5777"/>
    <w:rsid w:val="00505DAC"/>
    <w:rsid w:val="0055112A"/>
    <w:rsid w:val="0055168B"/>
    <w:rsid w:val="0061771B"/>
    <w:rsid w:val="006519E6"/>
    <w:rsid w:val="007E7DAD"/>
    <w:rsid w:val="0080184C"/>
    <w:rsid w:val="008C77AC"/>
    <w:rsid w:val="008D198A"/>
    <w:rsid w:val="009C48EA"/>
    <w:rsid w:val="00A52FCE"/>
    <w:rsid w:val="00A850A2"/>
    <w:rsid w:val="00BC7FDF"/>
    <w:rsid w:val="00CD130F"/>
    <w:rsid w:val="00CD16FB"/>
    <w:rsid w:val="00D214E6"/>
    <w:rsid w:val="00D806D6"/>
    <w:rsid w:val="00DD628F"/>
    <w:rsid w:val="00DF70A4"/>
    <w:rsid w:val="00E33F28"/>
    <w:rsid w:val="00E82C4B"/>
    <w:rsid w:val="00E9793E"/>
    <w:rsid w:val="00EB1AB8"/>
    <w:rsid w:val="00EC1C06"/>
    <w:rsid w:val="00F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F2EF7-A405-D341-8E07-DD17B92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1B"/>
  </w:style>
  <w:style w:type="paragraph" w:styleId="Titre1">
    <w:name w:val="heading 1"/>
    <w:basedOn w:val="Normal"/>
    <w:next w:val="Normal"/>
    <w:link w:val="Titre1Car"/>
    <w:qFormat/>
    <w:rsid w:val="00E9793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77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771B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rsid w:val="006177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link w:val="Pieddepage"/>
    <w:uiPriority w:val="99"/>
    <w:rsid w:val="006177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1771B"/>
    <w:rPr>
      <w:lang w:val="fr-FR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61771B"/>
    <w:rPr>
      <w:lang w:val="fr-FR"/>
    </w:rPr>
  </w:style>
  <w:style w:type="paragraph" w:styleId="Corpsdetexte">
    <w:name w:val="Body Text"/>
    <w:basedOn w:val="Normal"/>
    <w:link w:val="CorpsdetexteCar"/>
    <w:uiPriority w:val="99"/>
    <w:unhideWhenUsed/>
    <w:rsid w:val="0061771B"/>
    <w:pPr>
      <w:spacing w:after="120"/>
    </w:pPr>
    <w:rPr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1771B"/>
    <w:rPr>
      <w:lang w:val="fr-FR"/>
    </w:rPr>
  </w:style>
  <w:style w:type="character" w:customStyle="1" w:styleId="apple-style-span">
    <w:name w:val="apple-style-span"/>
    <w:rsid w:val="0061771B"/>
  </w:style>
  <w:style w:type="paragraph" w:styleId="Corpsdetexte2">
    <w:name w:val="Body Text 2"/>
    <w:basedOn w:val="Normal"/>
    <w:link w:val="Corpsdetexte2Car"/>
    <w:uiPriority w:val="99"/>
    <w:semiHidden/>
    <w:unhideWhenUsed/>
    <w:rsid w:val="0061771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1771B"/>
  </w:style>
  <w:style w:type="paragraph" w:customStyle="1" w:styleId="Default">
    <w:name w:val="Default"/>
    <w:rsid w:val="00E9793E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E9793E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uppercase">
    <w:name w:val="uppercase"/>
    <w:basedOn w:val="Policepardfaut"/>
    <w:rsid w:val="000E589E"/>
  </w:style>
  <w:style w:type="character" w:styleId="Accentuation">
    <w:name w:val="Emphasis"/>
    <w:basedOn w:val="Policepardfaut"/>
    <w:uiPriority w:val="20"/>
    <w:qFormat/>
    <w:rsid w:val="008C7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revue-les-cahiers-portalis-2016-1-page-33.htm" TargetMode="External"/><Relationship Id="rId13" Type="http://schemas.openxmlformats.org/officeDocument/2006/relationships/hyperlink" Target="https://doi.org/10.3917/mouv.053.0054" TargetMode="External"/><Relationship Id="rId18" Type="http://schemas.openxmlformats.org/officeDocument/2006/relationships/hyperlink" Target="https://doi.org/10.3917/polaf.092.0097" TargetMode="External"/><Relationship Id="rId26" Type="http://schemas.openxmlformats.org/officeDocument/2006/relationships/hyperlink" Target="https://doi.org/10.22201/cela.24484946e.2016.38.574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2201/iiec.20078951e.2020.200.69502" TargetMode="External"/><Relationship Id="rId7" Type="http://schemas.openxmlformats.org/officeDocument/2006/relationships/hyperlink" Target="http://qellqasqa.com.ar/ojs/index.php/estudios/article/view/254" TargetMode="External"/><Relationship Id="rId12" Type="http://schemas.openxmlformats.org/officeDocument/2006/relationships/hyperlink" Target="http://www.anuariocdh.uchile.cl/index.php/ADH/article/viewFile/19423/20559" TargetMode="External"/><Relationship Id="rId17" Type="http://schemas.openxmlformats.org/officeDocument/2006/relationships/hyperlink" Target="https://www.indh.cl/wp-content/uploads/2010/10/Mesa_de-Dialogo_CEP2000.pdf" TargetMode="External"/><Relationship Id="rId25" Type="http://schemas.openxmlformats.org/officeDocument/2006/relationships/hyperlink" Target="https://www.cairn.info/revue-internationale-et-strategique-2012-4-page-10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7/S2398772300001276" TargetMode="External"/><Relationship Id="rId20" Type="http://schemas.openxmlformats.org/officeDocument/2006/relationships/hyperlink" Target="https://doi.org/10.3917/mouv.053.010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irn.info/revue-de-science-criminelle-et-de-droit-penal-compare-2020-3-page-543.htm" TargetMode="External"/><Relationship Id="rId11" Type="http://schemas.openxmlformats.org/officeDocument/2006/relationships/hyperlink" Target="https://doi.org/10.2307/796904" TargetMode="External"/><Relationship Id="rId24" Type="http://schemas.openxmlformats.org/officeDocument/2006/relationships/hyperlink" Target="https://doi.org/10.18042/cepc/rep.190.05" TargetMode="External"/><Relationship Id="rId5" Type="http://schemas.openxmlformats.org/officeDocument/2006/relationships/hyperlink" Target="https://www.ictj.org/about/transitional-justice" TargetMode="External"/><Relationship Id="rId15" Type="http://schemas.openxmlformats.org/officeDocument/2006/relationships/hyperlink" Target="https://doi.org/10.3917/pal.102.0131" TargetMode="External"/><Relationship Id="rId23" Type="http://schemas.openxmlformats.org/officeDocument/2006/relationships/hyperlink" Target="http://journals.openedition.org/revestudsoc/47857" TargetMode="External"/><Relationship Id="rId28" Type="http://schemas.openxmlformats.org/officeDocument/2006/relationships/hyperlink" Target="https://documents.un.org/doc/undoc/gen/g23/188/35/pdf/g2318835.pdf" TargetMode="External"/><Relationship Id="rId10" Type="http://schemas.openxmlformats.org/officeDocument/2006/relationships/hyperlink" Target="http://www.saij.gob.ar/doctrina/dacf140093-crenzel-conadep_treinta_anos_despues.htm" TargetMode="External"/><Relationship Id="rId19" Type="http://schemas.openxmlformats.org/officeDocument/2006/relationships/hyperlink" Target="http://www.revistapostdata.com.ar/v2/wp-content/uploads/2018/05/postdata-23-2-Mart%C3%AD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c-cpi.int/sites/default/files/NR/rdonlyres/ADD16852-AEE9-4757-ABE7-9CDC7CF02886/283948/RomeStatuteFra1.pdf" TargetMode="External"/><Relationship Id="rId14" Type="http://schemas.openxmlformats.org/officeDocument/2006/relationships/hyperlink" Target="https://www.cairn.info/revue-mouvements-2008-1-page-71.htm" TargetMode="External"/><Relationship Id="rId22" Type="http://schemas.openxmlformats.org/officeDocument/2006/relationships/hyperlink" Target="http://www.mesadeconversaciones.com.co" TargetMode="External"/><Relationship Id="rId27" Type="http://schemas.openxmlformats.org/officeDocument/2006/relationships/hyperlink" Target="https://prodavinci.com/venezuela-2019-nuevo-intento-por-alcanzar-la-transicion-democratic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3802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Microsoft Office User</cp:lastModifiedBy>
  <cp:revision>2</cp:revision>
  <dcterms:created xsi:type="dcterms:W3CDTF">2024-09-09T06:05:00Z</dcterms:created>
  <dcterms:modified xsi:type="dcterms:W3CDTF">2024-09-09T06:05:00Z</dcterms:modified>
</cp:coreProperties>
</file>