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F40E" w14:textId="77777777" w:rsidR="00BF0787" w:rsidRPr="002B7FF0" w:rsidRDefault="00BF0787" w:rsidP="001C4D3B">
      <w:pPr>
        <w:ind w:firstLine="284"/>
        <w:jc w:val="center"/>
        <w:rPr>
          <w:b/>
          <w:lang w:val="es-ES"/>
        </w:rPr>
      </w:pPr>
      <w:r w:rsidRPr="002B7FF0">
        <w:rPr>
          <w:b/>
          <w:lang w:val="es-ES"/>
        </w:rPr>
        <w:t>“</w:t>
      </w:r>
      <w:r w:rsidR="005127A2">
        <w:rPr>
          <w:b/>
          <w:lang w:val="es-ES"/>
        </w:rPr>
        <w:t>E</w:t>
      </w:r>
      <w:r w:rsidRPr="002B7FF0">
        <w:rPr>
          <w:b/>
          <w:lang w:val="es-ES"/>
        </w:rPr>
        <w:t xml:space="preserve">l </w:t>
      </w:r>
      <w:proofErr w:type="spellStart"/>
      <w:r w:rsidRPr="002B7FF0">
        <w:rPr>
          <w:b/>
          <w:lang w:val="es-ES"/>
        </w:rPr>
        <w:t>goze</w:t>
      </w:r>
      <w:proofErr w:type="spellEnd"/>
      <w:r w:rsidRPr="002B7FF0">
        <w:rPr>
          <w:b/>
          <w:lang w:val="es-ES"/>
        </w:rPr>
        <w:t xml:space="preserve"> de los derechos de ciudadan</w:t>
      </w:r>
      <w:r w:rsidR="005127A2">
        <w:rPr>
          <w:b/>
          <w:lang w:val="es-ES"/>
        </w:rPr>
        <w:t>o</w:t>
      </w:r>
      <w:r w:rsidRPr="002B7FF0">
        <w:rPr>
          <w:b/>
          <w:lang w:val="es-ES"/>
        </w:rPr>
        <w:t xml:space="preserve">”: </w:t>
      </w:r>
      <w:r w:rsidRPr="002B7FF0">
        <w:rPr>
          <w:b/>
          <w:lang w:val="es-ES"/>
        </w:rPr>
        <w:br/>
      </w:r>
      <w:r>
        <w:rPr>
          <w:b/>
          <w:lang w:val="es-ES"/>
        </w:rPr>
        <w:t xml:space="preserve">Elecciones y ciudadanía en la América Central, </w:t>
      </w:r>
      <w:proofErr w:type="spellStart"/>
      <w:r w:rsidRPr="002B7FF0">
        <w:rPr>
          <w:b/>
          <w:lang w:val="es-ES"/>
        </w:rPr>
        <w:t>ca</w:t>
      </w:r>
      <w:proofErr w:type="spellEnd"/>
      <w:r w:rsidRPr="002B7FF0">
        <w:rPr>
          <w:b/>
          <w:lang w:val="es-ES"/>
        </w:rPr>
        <w:t>. 1770-18</w:t>
      </w:r>
      <w:r w:rsidR="003E1CB1">
        <w:rPr>
          <w:b/>
          <w:lang w:val="es-ES"/>
        </w:rPr>
        <w:t>39</w:t>
      </w:r>
      <w:r w:rsidRPr="002B7FF0">
        <w:rPr>
          <w:b/>
          <w:lang w:val="es-ES"/>
        </w:rPr>
        <w:t>”</w:t>
      </w:r>
    </w:p>
    <w:p w14:paraId="28BC8E29" w14:textId="77777777" w:rsidR="00A72E65" w:rsidRDefault="00A72E65" w:rsidP="001C4D3B">
      <w:pPr>
        <w:ind w:firstLine="284"/>
        <w:jc w:val="center"/>
        <w:rPr>
          <w:lang w:val="es-ES"/>
        </w:rPr>
      </w:pPr>
    </w:p>
    <w:p w14:paraId="64A682E6" w14:textId="77777777" w:rsidR="00BF0787" w:rsidRPr="006028E0" w:rsidRDefault="00BF0787" w:rsidP="00A72E65">
      <w:pPr>
        <w:ind w:firstLine="284"/>
        <w:jc w:val="right"/>
        <w:rPr>
          <w:lang w:val="es-ES"/>
        </w:rPr>
      </w:pPr>
      <w:r w:rsidRPr="006028E0">
        <w:rPr>
          <w:lang w:val="es-ES"/>
        </w:rPr>
        <w:t>Jordana Dym</w:t>
      </w:r>
    </w:p>
    <w:p w14:paraId="62F8A0BF" w14:textId="77777777" w:rsidR="007A4785" w:rsidRDefault="00A72E65" w:rsidP="00A72E65">
      <w:pPr>
        <w:ind w:firstLine="284"/>
        <w:jc w:val="right"/>
        <w:rPr>
          <w:lang w:val="es-ES"/>
        </w:rPr>
      </w:pPr>
      <w:proofErr w:type="spellStart"/>
      <w:r>
        <w:rPr>
          <w:lang w:val="es-ES"/>
        </w:rPr>
        <w:t>Skidmore</w:t>
      </w:r>
      <w:proofErr w:type="spellEnd"/>
      <w:r>
        <w:rPr>
          <w:lang w:val="es-ES"/>
        </w:rPr>
        <w:t xml:space="preserve"> </w:t>
      </w:r>
      <w:proofErr w:type="spellStart"/>
      <w:r>
        <w:rPr>
          <w:lang w:val="es-ES"/>
        </w:rPr>
        <w:t>College</w:t>
      </w:r>
      <w:proofErr w:type="spellEnd"/>
    </w:p>
    <w:p w14:paraId="773BAE81" w14:textId="77777777" w:rsidR="009A162C" w:rsidRPr="00936C95" w:rsidRDefault="009A162C" w:rsidP="00BC6C1A">
      <w:pPr>
        <w:rPr>
          <w:rFonts w:eastAsia="Times New Roman"/>
          <w:lang w:val="es-ES"/>
        </w:rPr>
      </w:pPr>
    </w:p>
    <w:p w14:paraId="47A27303" w14:textId="77777777" w:rsidR="00936C95" w:rsidRDefault="00936C95" w:rsidP="00936C95">
      <w:pPr>
        <w:jc w:val="both"/>
        <w:rPr>
          <w:rFonts w:eastAsia="Times New Roman"/>
          <w:lang w:val="es-ES"/>
        </w:rPr>
      </w:pPr>
      <w:r>
        <w:rPr>
          <w:rFonts w:eastAsia="Times New Roman"/>
          <w:lang w:val="es-ES"/>
        </w:rPr>
        <w:t>Resumen</w:t>
      </w:r>
    </w:p>
    <w:p w14:paraId="3E232683" w14:textId="2538F3E0" w:rsidR="009A162C" w:rsidRPr="009A162C" w:rsidRDefault="009A162C" w:rsidP="00936C95">
      <w:pPr>
        <w:jc w:val="both"/>
        <w:rPr>
          <w:rFonts w:eastAsia="Times New Roman"/>
          <w:lang w:val="es-ES"/>
        </w:rPr>
      </w:pPr>
      <w:r w:rsidRPr="009A162C">
        <w:rPr>
          <w:rFonts w:eastAsia="Times New Roman"/>
          <w:lang w:val="es-ES"/>
        </w:rPr>
        <w:t xml:space="preserve">Entre 1808 y 1839, las provincias y luego los estados independientes centroamericanos organizaron centenares de elecciones.  Este artículo </w:t>
      </w:r>
      <w:r w:rsidR="00582799">
        <w:rPr>
          <w:rFonts w:eastAsia="Times New Roman"/>
          <w:lang w:val="es-ES"/>
        </w:rPr>
        <w:t xml:space="preserve">examina </w:t>
      </w:r>
      <w:r w:rsidRPr="009A162C">
        <w:rPr>
          <w:rFonts w:eastAsia="Times New Roman"/>
          <w:lang w:val="es-ES"/>
        </w:rPr>
        <w:t>las constituciones y reglamentos electorales</w:t>
      </w:r>
      <w:r>
        <w:rPr>
          <w:rFonts w:eastAsia="Times New Roman"/>
          <w:lang w:val="es-ES"/>
        </w:rPr>
        <w:t xml:space="preserve"> para entender la teoría electoral</w:t>
      </w:r>
      <w:r w:rsidR="00837DAA">
        <w:rPr>
          <w:rFonts w:eastAsia="Times New Roman"/>
          <w:lang w:val="es-ES"/>
        </w:rPr>
        <w:t>.  L</w:t>
      </w:r>
      <w:r w:rsidR="00582799">
        <w:rPr>
          <w:rFonts w:eastAsia="Times New Roman"/>
          <w:lang w:val="es-ES"/>
        </w:rPr>
        <w:t>o</w:t>
      </w:r>
      <w:r>
        <w:rPr>
          <w:rFonts w:eastAsia="Times New Roman"/>
          <w:lang w:val="es-ES"/>
        </w:rPr>
        <w:t xml:space="preserve">s ponen en conversación con los </w:t>
      </w:r>
      <w:r w:rsidRPr="009A162C">
        <w:rPr>
          <w:rFonts w:eastAsia="Times New Roman"/>
          <w:lang w:val="es-ES"/>
        </w:rPr>
        <w:t xml:space="preserve">libros de elecciones, </w:t>
      </w:r>
      <w:r>
        <w:rPr>
          <w:rFonts w:eastAsia="Times New Roman"/>
          <w:lang w:val="es-ES"/>
        </w:rPr>
        <w:t xml:space="preserve">listados de votantes, </w:t>
      </w:r>
      <w:r w:rsidRPr="009A162C">
        <w:rPr>
          <w:rFonts w:eastAsia="Times New Roman"/>
          <w:lang w:val="es-ES"/>
        </w:rPr>
        <w:t xml:space="preserve">periódicos, </w:t>
      </w:r>
      <w:r>
        <w:rPr>
          <w:rFonts w:eastAsia="Times New Roman"/>
          <w:lang w:val="es-ES"/>
        </w:rPr>
        <w:t>correspondencia</w:t>
      </w:r>
      <w:r w:rsidR="00837DAA">
        <w:rPr>
          <w:rFonts w:eastAsia="Times New Roman"/>
          <w:lang w:val="es-ES"/>
        </w:rPr>
        <w:t xml:space="preserve">, y otros documentos que revelan las prácticas a nivel municipal, estatal, y federal.  El análisis muestra que el resultado sorprendente de un sistema que privilegió el voto indirecto y </w:t>
      </w:r>
      <w:r w:rsidR="007A61C4">
        <w:rPr>
          <w:rFonts w:eastAsia="Times New Roman"/>
          <w:lang w:val="es-ES"/>
        </w:rPr>
        <w:t xml:space="preserve">el poder del </w:t>
      </w:r>
      <w:r w:rsidR="00D9226D">
        <w:rPr>
          <w:rFonts w:eastAsia="Times New Roman"/>
          <w:lang w:val="es-ES"/>
        </w:rPr>
        <w:t>cuerpo</w:t>
      </w:r>
      <w:r w:rsidR="007A61C4">
        <w:rPr>
          <w:rFonts w:eastAsia="Times New Roman"/>
          <w:lang w:val="es-ES"/>
        </w:rPr>
        <w:t xml:space="preserve"> legislativo</w:t>
      </w:r>
      <w:r w:rsidR="00837DAA">
        <w:rPr>
          <w:rFonts w:eastAsia="Times New Roman"/>
          <w:lang w:val="es-ES"/>
        </w:rPr>
        <w:t xml:space="preserve"> en imponer </w:t>
      </w:r>
      <w:proofErr w:type="gramStart"/>
      <w:r w:rsidR="00837DAA">
        <w:rPr>
          <w:rFonts w:eastAsia="Times New Roman"/>
          <w:lang w:val="es-ES"/>
        </w:rPr>
        <w:t>resultados</w:t>
      </w:r>
      <w:r w:rsidR="00582799">
        <w:rPr>
          <w:rFonts w:eastAsia="Times New Roman"/>
          <w:lang w:val="es-ES"/>
        </w:rPr>
        <w:t>,</w:t>
      </w:r>
      <w:proofErr w:type="gramEnd"/>
      <w:r w:rsidR="00837DAA">
        <w:rPr>
          <w:rFonts w:eastAsia="Times New Roman"/>
          <w:lang w:val="es-ES"/>
        </w:rPr>
        <w:t xml:space="preserve"> era un compromiso ciudadano importante que, </w:t>
      </w:r>
      <w:r w:rsidR="00582799">
        <w:rPr>
          <w:rFonts w:eastAsia="Times New Roman"/>
          <w:lang w:val="es-ES"/>
        </w:rPr>
        <w:t>al final</w:t>
      </w:r>
      <w:r w:rsidR="00837DAA">
        <w:rPr>
          <w:rFonts w:eastAsia="Times New Roman"/>
          <w:lang w:val="es-ES"/>
        </w:rPr>
        <w:t>, preparó</w:t>
      </w:r>
      <w:r w:rsidR="00582799">
        <w:rPr>
          <w:rFonts w:eastAsia="Times New Roman"/>
          <w:lang w:val="es-ES"/>
        </w:rPr>
        <w:t xml:space="preserve"> a</w:t>
      </w:r>
      <w:r w:rsidR="00837DAA">
        <w:rPr>
          <w:rFonts w:eastAsia="Times New Roman"/>
          <w:lang w:val="es-ES"/>
        </w:rPr>
        <w:t xml:space="preserve"> la región para ampliar los derechos del ciudadano (al menos en papel) en la segunda mitad del siglo XIX. </w:t>
      </w:r>
    </w:p>
    <w:p w14:paraId="6589430F" w14:textId="77777777" w:rsidR="00BC6C1A" w:rsidRPr="006028E0" w:rsidRDefault="00BC6C1A" w:rsidP="00A72E65">
      <w:pPr>
        <w:ind w:firstLine="284"/>
        <w:jc w:val="right"/>
        <w:rPr>
          <w:lang w:val="es-ES"/>
        </w:rPr>
      </w:pPr>
    </w:p>
    <w:p w14:paraId="5DDE7DA0" w14:textId="77777777" w:rsidR="005B7914" w:rsidRDefault="00936C95" w:rsidP="00936C95">
      <w:pPr>
        <w:rPr>
          <w:lang w:val="es-ES_tradnl"/>
        </w:rPr>
      </w:pPr>
      <w:r>
        <w:rPr>
          <w:lang w:val="es-ES_tradnl"/>
        </w:rPr>
        <w:t xml:space="preserve">Palabras Claves: </w:t>
      </w:r>
      <w:r w:rsidR="009A162C">
        <w:rPr>
          <w:lang w:val="es-ES_tradnl"/>
        </w:rPr>
        <w:t>América Central, elecciones, siglo XIX, cultura política, ciudadanía</w:t>
      </w:r>
    </w:p>
    <w:p w14:paraId="3B864189" w14:textId="77777777" w:rsidR="009A162C" w:rsidRPr="00381592" w:rsidRDefault="009A162C" w:rsidP="001C4D3B">
      <w:pPr>
        <w:ind w:firstLine="284"/>
        <w:rPr>
          <w:lang w:val="es-ES_tradnl"/>
        </w:rPr>
      </w:pPr>
    </w:p>
    <w:p w14:paraId="288CF984" w14:textId="47410769" w:rsidR="00936C95" w:rsidRPr="001C4D3B" w:rsidRDefault="00441C1C" w:rsidP="0009142E">
      <w:pPr>
        <w:spacing w:line="360" w:lineRule="auto"/>
        <w:ind w:firstLine="284"/>
        <w:jc w:val="both"/>
        <w:rPr>
          <w:lang w:val="es-ES"/>
        </w:rPr>
      </w:pPr>
      <w:r w:rsidRPr="001C4D3B">
        <w:rPr>
          <w:lang w:val="es-ES"/>
        </w:rPr>
        <w:t>El 15 de diciembre de 1845, cuarenta vo</w:t>
      </w:r>
      <w:r w:rsidR="00E437C7" w:rsidRPr="001C4D3B">
        <w:rPr>
          <w:lang w:val="es-ES"/>
        </w:rPr>
        <w:t>t</w:t>
      </w:r>
      <w:r w:rsidRPr="001C4D3B">
        <w:rPr>
          <w:lang w:val="es-ES"/>
        </w:rPr>
        <w:t xml:space="preserve">antes en </w:t>
      </w:r>
      <w:r w:rsidR="00053B2D" w:rsidRPr="001C4D3B">
        <w:rPr>
          <w:lang w:val="es-ES"/>
        </w:rPr>
        <w:t xml:space="preserve">la </w:t>
      </w:r>
      <w:r w:rsidR="00E437C7" w:rsidRPr="001C4D3B">
        <w:rPr>
          <w:lang w:val="es-ES"/>
        </w:rPr>
        <w:t xml:space="preserve">Nueva Guatemala </w:t>
      </w:r>
      <w:r w:rsidR="00053B2D" w:rsidRPr="001C4D3B">
        <w:rPr>
          <w:lang w:val="es-ES"/>
        </w:rPr>
        <w:t xml:space="preserve">de la Asunción (la </w:t>
      </w:r>
      <w:r w:rsidR="00053B2D" w:rsidRPr="005C4630">
        <w:rPr>
          <w:lang w:val="es-ES"/>
        </w:rPr>
        <w:t xml:space="preserve">Ciudad de </w:t>
      </w:r>
      <w:r w:rsidR="00E437C7" w:rsidRPr="005C4630">
        <w:rPr>
          <w:lang w:val="es-ES"/>
        </w:rPr>
        <w:t>Guatemal</w:t>
      </w:r>
      <w:r w:rsidR="00053B2D" w:rsidRPr="005C4630">
        <w:rPr>
          <w:lang w:val="es-ES"/>
        </w:rPr>
        <w:t>a</w:t>
      </w:r>
      <w:r w:rsidR="00E437C7" w:rsidRPr="005C4630">
        <w:rPr>
          <w:lang w:val="es-ES"/>
        </w:rPr>
        <w:t xml:space="preserve">) </w:t>
      </w:r>
      <w:r w:rsidR="006F368F" w:rsidRPr="005C4630">
        <w:rPr>
          <w:lang w:val="es-ES"/>
        </w:rPr>
        <w:t>protestaron</w:t>
      </w:r>
      <w:r w:rsidRPr="005C4630">
        <w:rPr>
          <w:lang w:val="es-ES"/>
        </w:rPr>
        <w:t xml:space="preserve"> </w:t>
      </w:r>
      <w:r w:rsidR="005B7914" w:rsidRPr="005C4630">
        <w:rPr>
          <w:lang w:val="es-ES"/>
        </w:rPr>
        <w:t>a</w:t>
      </w:r>
      <w:r w:rsidRPr="005C4630">
        <w:rPr>
          <w:lang w:val="es-ES"/>
        </w:rPr>
        <w:t>l directorio</w:t>
      </w:r>
      <w:r w:rsidR="00053B2D" w:rsidRPr="005C4630">
        <w:rPr>
          <w:lang w:val="es-ES"/>
        </w:rPr>
        <w:t xml:space="preserve"> </w:t>
      </w:r>
      <w:r w:rsidR="00331539" w:rsidRPr="005C4630">
        <w:rPr>
          <w:lang w:val="es-ES"/>
        </w:rPr>
        <w:t>(</w:t>
      </w:r>
      <w:r w:rsidRPr="005C4630">
        <w:rPr>
          <w:lang w:val="es-ES"/>
        </w:rPr>
        <w:t>junta electoral</w:t>
      </w:r>
      <w:r w:rsidR="00053B2D" w:rsidRPr="005C4630">
        <w:rPr>
          <w:lang w:val="es-ES"/>
        </w:rPr>
        <w:t xml:space="preserve">) </w:t>
      </w:r>
      <w:r w:rsidR="005B7914" w:rsidRPr="005C4630">
        <w:rPr>
          <w:lang w:val="es-ES"/>
        </w:rPr>
        <w:t>el procedimiento de</w:t>
      </w:r>
      <w:r w:rsidR="00053B2D" w:rsidRPr="005C4630">
        <w:rPr>
          <w:lang w:val="es-ES"/>
        </w:rPr>
        <w:t xml:space="preserve"> </w:t>
      </w:r>
      <w:r w:rsidRPr="005C4630">
        <w:rPr>
          <w:lang w:val="es-ES"/>
        </w:rPr>
        <w:t xml:space="preserve">elecciones municipales del día anterior. </w:t>
      </w:r>
      <w:r w:rsidR="00331539" w:rsidRPr="005C4630">
        <w:rPr>
          <w:lang w:val="es-ES"/>
        </w:rPr>
        <w:t>S</w:t>
      </w:r>
      <w:r w:rsidRPr="005C4630">
        <w:rPr>
          <w:lang w:val="es-ES"/>
        </w:rPr>
        <w:t xml:space="preserve">olicitaron que </w:t>
      </w:r>
      <w:r w:rsidR="00331539" w:rsidRPr="005C4630">
        <w:rPr>
          <w:lang w:val="es-ES"/>
        </w:rPr>
        <w:t xml:space="preserve">la junta </w:t>
      </w:r>
      <w:r w:rsidRPr="005C4630">
        <w:rPr>
          <w:lang w:val="es-ES"/>
        </w:rPr>
        <w:t xml:space="preserve">transmitiera </w:t>
      </w:r>
      <w:r w:rsidR="001330E7" w:rsidRPr="005C4630">
        <w:rPr>
          <w:lang w:val="es-ES"/>
        </w:rPr>
        <w:t xml:space="preserve">al gobierno estatal </w:t>
      </w:r>
      <w:r w:rsidRPr="005C4630">
        <w:rPr>
          <w:lang w:val="es-ES"/>
        </w:rPr>
        <w:t>sus inquietudes p</w:t>
      </w:r>
      <w:r w:rsidR="00331539" w:rsidRPr="005C4630">
        <w:rPr>
          <w:lang w:val="es-ES"/>
        </w:rPr>
        <w:t>r</w:t>
      </w:r>
      <w:r w:rsidRPr="005C4630">
        <w:rPr>
          <w:lang w:val="es-ES"/>
        </w:rPr>
        <w:t xml:space="preserve">ocesales y sustantivas </w:t>
      </w:r>
      <w:r w:rsidR="00331539" w:rsidRPr="005C4630">
        <w:rPr>
          <w:lang w:val="es-ES"/>
        </w:rPr>
        <w:t>de no admitir sus votos</w:t>
      </w:r>
      <w:r w:rsidR="001330E7" w:rsidRPr="005C4630">
        <w:rPr>
          <w:lang w:val="es-ES"/>
        </w:rPr>
        <w:t>. S</w:t>
      </w:r>
      <w:r w:rsidRPr="005C4630">
        <w:rPr>
          <w:lang w:val="es-ES"/>
        </w:rPr>
        <w:t xml:space="preserve">ostuvieron que las urnas </w:t>
      </w:r>
      <w:r w:rsidR="001330E7" w:rsidRPr="005C4630">
        <w:rPr>
          <w:lang w:val="es-ES"/>
        </w:rPr>
        <w:t xml:space="preserve">no se abrieron </w:t>
      </w:r>
      <w:r w:rsidR="00BF0787" w:rsidRPr="005C4630">
        <w:rPr>
          <w:lang w:val="es-ES"/>
        </w:rPr>
        <w:t xml:space="preserve">las </w:t>
      </w:r>
      <w:r w:rsidRPr="005C4630">
        <w:rPr>
          <w:lang w:val="es-ES"/>
        </w:rPr>
        <w:t xml:space="preserve">ocho horas requeridas </w:t>
      </w:r>
      <w:r w:rsidR="005B7914" w:rsidRPr="005C4630">
        <w:rPr>
          <w:lang w:val="es-ES"/>
        </w:rPr>
        <w:t>según un decreto</w:t>
      </w:r>
      <w:r w:rsidR="00331539" w:rsidRPr="005C4630">
        <w:rPr>
          <w:lang w:val="es-ES"/>
        </w:rPr>
        <w:t xml:space="preserve"> reciente y que </w:t>
      </w:r>
      <w:r w:rsidR="001330E7" w:rsidRPr="005C4630">
        <w:rPr>
          <w:lang w:val="es-ES"/>
        </w:rPr>
        <w:t>personas sin</w:t>
      </w:r>
      <w:r w:rsidRPr="005C4630">
        <w:rPr>
          <w:lang w:val="es-ES"/>
        </w:rPr>
        <w:t xml:space="preserve"> "el </w:t>
      </w:r>
      <w:proofErr w:type="spellStart"/>
      <w:r w:rsidRPr="005C4630">
        <w:rPr>
          <w:lang w:val="es-ES"/>
        </w:rPr>
        <w:t>goze</w:t>
      </w:r>
      <w:proofErr w:type="spellEnd"/>
      <w:r w:rsidRPr="005C4630">
        <w:rPr>
          <w:lang w:val="es-ES"/>
        </w:rPr>
        <w:t xml:space="preserve"> de </w:t>
      </w:r>
      <w:r w:rsidR="00053B2D" w:rsidRPr="005C4630">
        <w:rPr>
          <w:lang w:val="es-ES"/>
        </w:rPr>
        <w:t>los derechos de ciudadan</w:t>
      </w:r>
      <w:r w:rsidR="005127A2" w:rsidRPr="005C4630">
        <w:rPr>
          <w:lang w:val="es-ES"/>
        </w:rPr>
        <w:t>o</w:t>
      </w:r>
      <w:r w:rsidR="00053B2D" w:rsidRPr="005C4630">
        <w:rPr>
          <w:lang w:val="es-ES"/>
        </w:rPr>
        <w:t>”</w:t>
      </w:r>
      <w:r w:rsidR="005B7914" w:rsidRPr="005C4630">
        <w:rPr>
          <w:lang w:val="es-ES"/>
        </w:rPr>
        <w:t xml:space="preserve"> habían votado</w:t>
      </w:r>
      <w:r w:rsidR="005E0FD0" w:rsidRPr="005C4630">
        <w:rPr>
          <w:lang w:val="es-ES"/>
        </w:rPr>
        <w:t>. A</w:t>
      </w:r>
      <w:r w:rsidRPr="005C4630">
        <w:rPr>
          <w:lang w:val="es-ES"/>
        </w:rPr>
        <w:t>firmaron que la circulación de "</w:t>
      </w:r>
      <w:r w:rsidR="006F368F" w:rsidRPr="005C4630">
        <w:rPr>
          <w:lang w:val="es-ES"/>
        </w:rPr>
        <w:t xml:space="preserve">unas </w:t>
      </w:r>
      <w:r w:rsidRPr="005C4630">
        <w:rPr>
          <w:lang w:val="es-ES"/>
        </w:rPr>
        <w:t>listas</w:t>
      </w:r>
      <w:r w:rsidR="00053B2D" w:rsidRPr="005C4630">
        <w:rPr>
          <w:lang w:val="es-ES"/>
        </w:rPr>
        <w:t xml:space="preserve"> [de candidatos]</w:t>
      </w:r>
      <w:r w:rsidRPr="005C4630">
        <w:rPr>
          <w:lang w:val="es-ES"/>
        </w:rPr>
        <w:t xml:space="preserve"> impresas</w:t>
      </w:r>
      <w:r w:rsidR="006F368F" w:rsidRPr="005C4630">
        <w:rPr>
          <w:lang w:val="es-ES"/>
        </w:rPr>
        <w:t xml:space="preserve"> </w:t>
      </w:r>
      <w:r w:rsidR="005E0FD0" w:rsidRPr="005C4630">
        <w:rPr>
          <w:lang w:val="es-ES"/>
        </w:rPr>
        <w:t xml:space="preserve">en </w:t>
      </w:r>
      <w:r w:rsidRPr="005C4630">
        <w:rPr>
          <w:lang w:val="es-ES"/>
        </w:rPr>
        <w:t>azul</w:t>
      </w:r>
      <w:r w:rsidR="005E0FD0" w:rsidRPr="005C4630">
        <w:rPr>
          <w:lang w:val="es-ES"/>
        </w:rPr>
        <w:t>"</w:t>
      </w:r>
      <w:r w:rsidR="007A61C4">
        <w:rPr>
          <w:lang w:val="es-ES"/>
        </w:rPr>
        <w:t>, que reprodujo</w:t>
      </w:r>
      <w:r w:rsidR="005E0FD0" w:rsidRPr="005C4630">
        <w:rPr>
          <w:lang w:val="es-ES"/>
        </w:rPr>
        <w:t xml:space="preserve"> </w:t>
      </w:r>
      <w:r w:rsidRPr="005C4630">
        <w:rPr>
          <w:lang w:val="es-ES"/>
        </w:rPr>
        <w:t>"aberraciones</w:t>
      </w:r>
      <w:r w:rsidR="006F368F" w:rsidRPr="005C4630">
        <w:rPr>
          <w:lang w:val="es-ES"/>
        </w:rPr>
        <w:t xml:space="preserve"> y abusos</w:t>
      </w:r>
      <w:r w:rsidRPr="005C4630">
        <w:rPr>
          <w:lang w:val="es-ES"/>
        </w:rPr>
        <w:t xml:space="preserve">" </w:t>
      </w:r>
      <w:r w:rsidR="0009142E" w:rsidRPr="005C4630">
        <w:rPr>
          <w:lang w:val="es-ES"/>
        </w:rPr>
        <w:t>cometida</w:t>
      </w:r>
      <w:r w:rsidR="006F368F" w:rsidRPr="005C4630">
        <w:rPr>
          <w:lang w:val="es-ES"/>
        </w:rPr>
        <w:t>s</w:t>
      </w:r>
      <w:r w:rsidR="00BF0787" w:rsidRPr="005C4630">
        <w:rPr>
          <w:lang w:val="es-ES"/>
        </w:rPr>
        <w:t xml:space="preserve"> </w:t>
      </w:r>
      <w:r w:rsidR="006F368F" w:rsidRPr="005C4630">
        <w:rPr>
          <w:lang w:val="es-ES"/>
        </w:rPr>
        <w:t>en</w:t>
      </w:r>
      <w:r w:rsidR="00BF0787" w:rsidRPr="005C4630">
        <w:rPr>
          <w:lang w:val="es-ES"/>
        </w:rPr>
        <w:t xml:space="preserve"> </w:t>
      </w:r>
      <w:r w:rsidRPr="005C4630">
        <w:rPr>
          <w:lang w:val="es-ES"/>
        </w:rPr>
        <w:t>1837 y 1838</w:t>
      </w:r>
      <w:r w:rsidR="0009142E" w:rsidRPr="005C4630">
        <w:rPr>
          <w:lang w:val="es-ES"/>
        </w:rPr>
        <w:t>,</w:t>
      </w:r>
      <w:r w:rsidRPr="005C4630">
        <w:rPr>
          <w:lang w:val="es-ES"/>
        </w:rPr>
        <w:t xml:space="preserve"> </w:t>
      </w:r>
      <w:r w:rsidR="006F368F" w:rsidRPr="00B148E3">
        <w:rPr>
          <w:lang w:val="es-ES"/>
        </w:rPr>
        <w:t>“</w:t>
      </w:r>
      <w:r w:rsidRPr="00B148E3">
        <w:rPr>
          <w:lang w:val="es-ES"/>
        </w:rPr>
        <w:t xml:space="preserve">no </w:t>
      </w:r>
      <w:r w:rsidR="006F368F" w:rsidRPr="00B148E3">
        <w:rPr>
          <w:lang w:val="es-ES"/>
        </w:rPr>
        <w:t>dejaba</w:t>
      </w:r>
      <w:r w:rsidRPr="00B148E3">
        <w:rPr>
          <w:lang w:val="es-ES"/>
        </w:rPr>
        <w:t xml:space="preserve"> al</w:t>
      </w:r>
      <w:r w:rsidRPr="001C4D3B">
        <w:rPr>
          <w:lang w:val="es-ES"/>
        </w:rPr>
        <w:t xml:space="preserve"> pueblo</w:t>
      </w:r>
      <w:r w:rsidRPr="001C4D3B">
        <w:rPr>
          <w:b/>
          <w:lang w:val="es-ES"/>
        </w:rPr>
        <w:t xml:space="preserve"> </w:t>
      </w:r>
      <w:r w:rsidRPr="001C4D3B">
        <w:rPr>
          <w:lang w:val="es-ES"/>
        </w:rPr>
        <w:t xml:space="preserve">la libertad necesaria para elegir a sus </w:t>
      </w:r>
      <w:r w:rsidR="006F368F" w:rsidRPr="001C4D3B">
        <w:rPr>
          <w:lang w:val="es-ES"/>
        </w:rPr>
        <w:t>mandatarios</w:t>
      </w:r>
      <w:r w:rsidR="006F6888">
        <w:rPr>
          <w:lang w:val="es-ES"/>
        </w:rPr>
        <w:t>"</w:t>
      </w:r>
      <w:r w:rsidR="00936C95" w:rsidRPr="001C4D3B">
        <w:rPr>
          <w:rStyle w:val="FootnoteReference"/>
        </w:rPr>
        <w:footnoteReference w:id="1"/>
      </w:r>
      <w:r w:rsidR="00936C95">
        <w:rPr>
          <w:lang w:val="es-ES"/>
        </w:rPr>
        <w:t>.</w:t>
      </w:r>
      <w:r w:rsidR="00936C95" w:rsidRPr="001C4D3B">
        <w:rPr>
          <w:lang w:val="es-ES"/>
        </w:rPr>
        <w:t xml:space="preserve"> Tomando este inciden</w:t>
      </w:r>
      <w:r w:rsidR="00936C95">
        <w:rPr>
          <w:lang w:val="es-ES"/>
        </w:rPr>
        <w:t xml:space="preserve">te al pie de la </w:t>
      </w:r>
      <w:r w:rsidR="00936C95" w:rsidRPr="005C4630">
        <w:rPr>
          <w:lang w:val="es-ES"/>
        </w:rPr>
        <w:t>letra, podría parecer que el proceso democrático estaba bien establecido en Guatemala en 1845, que los votantes eran activos, que conocían los cambios recientes a los códigos electorales y que utilizaban métodos conocidos de apelación.  Es decir, los ciudadanos no dudaron en ejercer su voz y voto. Sin embargo, poco cambió desde las vísperas de la independencia centroamericana en 1820, cuando la Diputación Provincial (DP) de Guatemala discutió tres quejas sobre el fraude electoral en elecciones parroquiales llevadas a cabo bajo el auspicio de la restaurada constitución española de 1812. Dos de esas quejas denunciaron la circulación de listas de votación promovidas por poderosos residentes en la Antigua Guatemala y</w:t>
      </w:r>
      <w:r w:rsidR="00936C95" w:rsidRPr="001C4D3B">
        <w:rPr>
          <w:lang w:val="es-ES"/>
        </w:rPr>
        <w:t xml:space="preserve"> </w:t>
      </w:r>
      <w:r w:rsidR="00936C95" w:rsidRPr="005C4630">
        <w:rPr>
          <w:lang w:val="es-ES"/>
        </w:rPr>
        <w:t>la Ciudad de Guatemala.</w:t>
      </w:r>
      <w:r w:rsidR="00936C95" w:rsidRPr="005C4630">
        <w:rPr>
          <w:lang w:val="es-ES_tradnl"/>
        </w:rPr>
        <w:t xml:space="preserve"> </w:t>
      </w:r>
      <w:r w:rsidR="00936C95" w:rsidRPr="005C4630">
        <w:rPr>
          <w:lang w:val="es-ES"/>
        </w:rPr>
        <w:t xml:space="preserve">Ambas reclamaciones fueron sustancialmente similares a las que se iban a presentar veinte cinco años más </w:t>
      </w:r>
      <w:r w:rsidR="00936C95" w:rsidRPr="005C4630">
        <w:rPr>
          <w:lang w:val="es-ES"/>
        </w:rPr>
        <w:lastRenderedPageBreak/>
        <w:t>tarde, implicando a un sacerdote local por influir para que</w:t>
      </w:r>
      <w:r w:rsidR="00936C95" w:rsidRPr="001C4D3B">
        <w:rPr>
          <w:lang w:val="es-ES"/>
        </w:rPr>
        <w:t xml:space="preserve"> </w:t>
      </w:r>
      <w:r w:rsidR="00936C95" w:rsidRPr="00606520">
        <w:rPr>
          <w:lang w:val="es-ES"/>
        </w:rPr>
        <w:t>se votase a favor de una</w:t>
      </w:r>
      <w:r w:rsidR="00936C95" w:rsidRPr="001C4D3B">
        <w:rPr>
          <w:lang w:val="es-ES"/>
        </w:rPr>
        <w:t xml:space="preserve"> lista</w:t>
      </w:r>
      <w:r w:rsidR="00936C95">
        <w:rPr>
          <w:lang w:val="es-ES"/>
        </w:rPr>
        <w:t xml:space="preserve"> de candidatos preseleccionados</w:t>
      </w:r>
      <w:r w:rsidR="00936C95" w:rsidRPr="001C4D3B">
        <w:rPr>
          <w:rStyle w:val="FootnoteReference"/>
        </w:rPr>
        <w:footnoteReference w:id="2"/>
      </w:r>
      <w:r w:rsidR="00936C95">
        <w:rPr>
          <w:lang w:val="es-ES"/>
        </w:rPr>
        <w:t>.</w:t>
      </w:r>
      <w:r w:rsidR="00936C95" w:rsidRPr="001C4D3B">
        <w:rPr>
          <w:lang w:val="es-ES"/>
        </w:rPr>
        <w:t xml:space="preserve">  La tercera </w:t>
      </w:r>
      <w:r w:rsidR="00936C95">
        <w:rPr>
          <w:lang w:val="es-ES"/>
        </w:rPr>
        <w:t xml:space="preserve">queja </w:t>
      </w:r>
      <w:r w:rsidR="00936C95" w:rsidRPr="001C4D3B">
        <w:rPr>
          <w:lang w:val="es-ES"/>
        </w:rPr>
        <w:t xml:space="preserve">provenía de un </w:t>
      </w:r>
      <w:r w:rsidR="00936C95" w:rsidRPr="005C4630">
        <w:rPr>
          <w:lang w:val="es-ES"/>
        </w:rPr>
        <w:t>ladino del pueblo de San Martín</w:t>
      </w:r>
      <w:r w:rsidR="00936C95" w:rsidRPr="005C4630">
        <w:rPr>
          <w:rStyle w:val="FootnoteReference"/>
        </w:rPr>
        <w:footnoteReference w:id="3"/>
      </w:r>
      <w:r w:rsidR="00936C95" w:rsidRPr="005C4630">
        <w:rPr>
          <w:lang w:val="es-ES"/>
        </w:rPr>
        <w:t xml:space="preserve"> quejándose de que los indígenas residentes en las villas habían impedido el voto a los ladinos. Esta queja demostraba que el conocimiento y uso del nuevo sistema había llegado más allá </w:t>
      </w:r>
      <w:r w:rsidR="00A80994">
        <w:rPr>
          <w:lang w:val="es-ES"/>
        </w:rPr>
        <w:t>de</w:t>
      </w:r>
      <w:r w:rsidR="00A80994" w:rsidRPr="005C4630">
        <w:rPr>
          <w:lang w:val="es-ES"/>
        </w:rPr>
        <w:t xml:space="preserve"> </w:t>
      </w:r>
      <w:r w:rsidR="00936C95" w:rsidRPr="005C4630">
        <w:rPr>
          <w:lang w:val="es-ES"/>
        </w:rPr>
        <w:t>la población de origen europea en los municipios principales</w:t>
      </w:r>
      <w:r w:rsidR="00936C95" w:rsidRPr="005C4630">
        <w:rPr>
          <w:rStyle w:val="FootnoteReference"/>
        </w:rPr>
        <w:footnoteReference w:id="4"/>
      </w:r>
      <w:r w:rsidR="00936C95" w:rsidRPr="005C4630">
        <w:rPr>
          <w:lang w:val="es-ES"/>
        </w:rPr>
        <w:t>.</w:t>
      </w:r>
    </w:p>
    <w:p w14:paraId="434D0123" w14:textId="524753A6" w:rsidR="00936C95" w:rsidRDefault="00936C95" w:rsidP="00CD38AE">
      <w:pPr>
        <w:spacing w:line="360" w:lineRule="auto"/>
        <w:ind w:firstLine="284"/>
        <w:jc w:val="both"/>
        <w:rPr>
          <w:lang w:val="es-ES"/>
        </w:rPr>
      </w:pPr>
      <w:r>
        <w:rPr>
          <w:lang w:val="es-ES"/>
        </w:rPr>
        <w:t>Tomados en conjunto</w:t>
      </w:r>
      <w:r w:rsidRPr="001C4D3B">
        <w:rPr>
          <w:lang w:val="es-ES"/>
        </w:rPr>
        <w:t xml:space="preserve"> </w:t>
      </w:r>
      <w:r w:rsidRPr="005C4630">
        <w:rPr>
          <w:lang w:val="es-ES"/>
        </w:rPr>
        <w:t xml:space="preserve">estos ejemplos de quejas con el funcionamiento del sistema electoral, se comprueba el compromiso ciudadano con la práctica </w:t>
      </w:r>
      <w:r w:rsidR="00D9226D">
        <w:rPr>
          <w:lang w:val="es-ES"/>
        </w:rPr>
        <w:t>electoral</w:t>
      </w:r>
      <w:r w:rsidR="00D9226D" w:rsidRPr="005C4630">
        <w:rPr>
          <w:lang w:val="es-ES"/>
        </w:rPr>
        <w:t xml:space="preserve"> </w:t>
      </w:r>
      <w:r w:rsidRPr="005C4630">
        <w:rPr>
          <w:lang w:val="es-ES"/>
        </w:rPr>
        <w:t>en la época de la independencia guatemalteca y, por extensión, de Centroam</w:t>
      </w:r>
      <w:r w:rsidRPr="001C4D3B">
        <w:rPr>
          <w:lang w:val="es-ES"/>
        </w:rPr>
        <w:t>érica</w:t>
      </w:r>
      <w:r>
        <w:rPr>
          <w:lang w:val="es-ES"/>
        </w:rPr>
        <w:t xml:space="preserve">. </w:t>
      </w:r>
      <w:r w:rsidRPr="005C4630">
        <w:rPr>
          <w:lang w:val="es-ES"/>
        </w:rPr>
        <w:t xml:space="preserve">Los mismos demuestran igualmente una continuidad en las relaciones sociales y políticas trascurridas entre 1812 y mediados del siglo XIX, cuando los estados centroamericanos proclamaron y luego establecieron su soberanía política insistiendo en “el </w:t>
      </w:r>
      <w:proofErr w:type="spellStart"/>
      <w:r w:rsidRPr="005C4630">
        <w:rPr>
          <w:lang w:val="es-ES"/>
        </w:rPr>
        <w:t>goze</w:t>
      </w:r>
      <w:proofErr w:type="spellEnd"/>
      <w:r w:rsidRPr="005C4630">
        <w:rPr>
          <w:lang w:val="es-ES"/>
        </w:rPr>
        <w:t xml:space="preserve"> de derechos de ciudadanía” para las comunidades además de los individuos. Esta pluralidad de expresiones políticas no debe sorprender; incluso antes de la era de las revoluciones democráticas, los centroamericanos tenían una larga experiencia de participación, y en cierto modo de representación, en el g</w:t>
      </w:r>
      <w:r w:rsidRPr="001C4D3B">
        <w:rPr>
          <w:lang w:val="es-ES"/>
        </w:rPr>
        <w:t xml:space="preserve">obierno local e imperial. En el siglo XIX, continuaron </w:t>
      </w:r>
      <w:r w:rsidR="00A80994">
        <w:rPr>
          <w:lang w:val="es-ES"/>
        </w:rPr>
        <w:t xml:space="preserve">su </w:t>
      </w:r>
      <w:r w:rsidRPr="001C4D3B">
        <w:rPr>
          <w:lang w:val="es-ES"/>
        </w:rPr>
        <w:t xml:space="preserve">compromiso de </w:t>
      </w:r>
      <w:r w:rsidR="00146484">
        <w:rPr>
          <w:lang w:val="es-ES"/>
        </w:rPr>
        <w:t xml:space="preserve">amplia </w:t>
      </w:r>
      <w:r w:rsidRPr="001C4D3B">
        <w:rPr>
          <w:lang w:val="es-ES"/>
        </w:rPr>
        <w:t>participación individual y colectiva por medio de las reuniones populares, partic</w:t>
      </w:r>
      <w:r>
        <w:rPr>
          <w:lang w:val="es-ES"/>
        </w:rPr>
        <w:t>ipación en elecciones y sorteos</w:t>
      </w:r>
      <w:r w:rsidR="00A80994">
        <w:rPr>
          <w:lang w:val="es-ES"/>
        </w:rPr>
        <w:t>,</w:t>
      </w:r>
      <w:r w:rsidRPr="001C4D3B">
        <w:rPr>
          <w:lang w:val="es-ES"/>
        </w:rPr>
        <w:t xml:space="preserve"> y elevación de peticiones a </w:t>
      </w:r>
      <w:r>
        <w:rPr>
          <w:lang w:val="es-ES"/>
        </w:rPr>
        <w:t xml:space="preserve">las </w:t>
      </w:r>
      <w:r w:rsidRPr="001C4D3B">
        <w:rPr>
          <w:lang w:val="es-ES"/>
        </w:rPr>
        <w:t xml:space="preserve">autoridades ejecutivas.  </w:t>
      </w:r>
    </w:p>
    <w:p w14:paraId="7C3180CA" w14:textId="0EB56476" w:rsidR="00936C95" w:rsidRPr="005C4630" w:rsidRDefault="00936C95" w:rsidP="00CD38AE">
      <w:pPr>
        <w:spacing w:line="360" w:lineRule="auto"/>
        <w:ind w:firstLine="284"/>
        <w:jc w:val="both"/>
        <w:rPr>
          <w:color w:val="000000" w:themeColor="text1"/>
          <w:lang w:val="es-ES"/>
        </w:rPr>
      </w:pPr>
      <w:r w:rsidRPr="005C4630">
        <w:rPr>
          <w:color w:val="000000" w:themeColor="text1"/>
          <w:lang w:val="es-ES"/>
        </w:rPr>
        <w:t xml:space="preserve">Una evaluación de los orígenes de la democracia </w:t>
      </w:r>
      <w:r w:rsidR="00D9226D">
        <w:rPr>
          <w:color w:val="000000" w:themeColor="text1"/>
          <w:lang w:val="es-ES"/>
        </w:rPr>
        <w:t xml:space="preserve">electoral </w:t>
      </w:r>
      <w:r w:rsidRPr="005C4630">
        <w:rPr>
          <w:color w:val="000000" w:themeColor="text1"/>
          <w:lang w:val="es-ES"/>
        </w:rPr>
        <w:t xml:space="preserve">en el período de independencia debería </w:t>
      </w:r>
      <w:r w:rsidR="00A80994">
        <w:rPr>
          <w:color w:val="000000" w:themeColor="text1"/>
          <w:lang w:val="es-ES"/>
        </w:rPr>
        <w:t xml:space="preserve">considerar </w:t>
      </w:r>
      <w:r w:rsidRPr="005C4630">
        <w:rPr>
          <w:color w:val="000000" w:themeColor="text1"/>
          <w:lang w:val="es-ES"/>
        </w:rPr>
        <w:t xml:space="preserve">no sólo quién poseía legalmente el título de ciudadano, sino cómo los individuos y grupos expresaron "el </w:t>
      </w:r>
      <w:proofErr w:type="spellStart"/>
      <w:r w:rsidRPr="005C4630">
        <w:rPr>
          <w:color w:val="000000" w:themeColor="text1"/>
          <w:lang w:val="es-ES"/>
        </w:rPr>
        <w:t>goze</w:t>
      </w:r>
      <w:proofErr w:type="spellEnd"/>
      <w:r w:rsidRPr="005C4630">
        <w:rPr>
          <w:color w:val="000000" w:themeColor="text1"/>
          <w:lang w:val="es-ES"/>
        </w:rPr>
        <w:t xml:space="preserve"> de los derechos" que lo acompañaba y, en la práctica, cuáles eran las fuentes de estas expresiones de elegir o seleccionar a sus líderes políticos. Es decir, se debe analizar la nueva cultura política de participación y representación junto con las prácticas desarrolladas durante el Antiguo Régimen que perduraron durante </w:t>
      </w:r>
      <w:r w:rsidR="007A61C4">
        <w:rPr>
          <w:color w:val="000000" w:themeColor="text1"/>
          <w:lang w:val="es-ES"/>
        </w:rPr>
        <w:t>la</w:t>
      </w:r>
      <w:r w:rsidRPr="005C4630">
        <w:rPr>
          <w:color w:val="000000" w:themeColor="text1"/>
          <w:lang w:val="es-ES"/>
        </w:rPr>
        <w:t xml:space="preserve"> </w:t>
      </w:r>
      <w:r w:rsidR="00A80994">
        <w:rPr>
          <w:color w:val="000000" w:themeColor="text1"/>
          <w:lang w:val="es-ES"/>
        </w:rPr>
        <w:t>etapa</w:t>
      </w:r>
      <w:r w:rsidR="007A61C4">
        <w:rPr>
          <w:color w:val="000000" w:themeColor="text1"/>
          <w:lang w:val="es-ES"/>
        </w:rPr>
        <w:t xml:space="preserve"> </w:t>
      </w:r>
      <w:r w:rsidRPr="005C4630">
        <w:rPr>
          <w:color w:val="000000" w:themeColor="text1"/>
          <w:lang w:val="es-ES"/>
        </w:rPr>
        <w:t>constitucionalista. Sólo así se podrá reconocer la naturaleza experimental de los primeros esfuerzos jurídicos y constitucionales</w:t>
      </w:r>
      <w:r w:rsidRPr="005C4630">
        <w:rPr>
          <w:rStyle w:val="FootnoteReference"/>
          <w:color w:val="000000" w:themeColor="text1"/>
          <w:lang w:val="es-ES"/>
        </w:rPr>
        <w:footnoteReference w:id="5"/>
      </w:r>
      <w:r w:rsidRPr="005C4630">
        <w:rPr>
          <w:color w:val="000000" w:themeColor="text1"/>
          <w:lang w:val="es-ES"/>
        </w:rPr>
        <w:t xml:space="preserve">. Porque, como Hilda </w:t>
      </w:r>
      <w:proofErr w:type="spellStart"/>
      <w:r w:rsidRPr="005C4630">
        <w:rPr>
          <w:color w:val="000000" w:themeColor="text1"/>
          <w:lang w:val="es-ES"/>
        </w:rPr>
        <w:t>Sabato</w:t>
      </w:r>
      <w:proofErr w:type="spellEnd"/>
      <w:r w:rsidRPr="005C4630">
        <w:rPr>
          <w:color w:val="000000" w:themeColor="text1"/>
          <w:lang w:val="es-ES"/>
        </w:rPr>
        <w:t xml:space="preserve"> ha subrayado, “</w:t>
      </w:r>
      <w:r w:rsidRPr="005C4630">
        <w:rPr>
          <w:color w:val="000000" w:themeColor="text1"/>
          <w:lang w:val="es-ES_tradnl"/>
        </w:rPr>
        <w:t xml:space="preserve">la adopción generalizada de formas republicanas de gobierno” en </w:t>
      </w:r>
      <w:r w:rsidRPr="005C4630">
        <w:rPr>
          <w:color w:val="000000" w:themeColor="text1"/>
          <w:lang w:val="es-ES"/>
        </w:rPr>
        <w:t xml:space="preserve">las Américas decimonónicas transformó la región en "un campo de experimentación </w:t>
      </w:r>
      <w:r w:rsidRPr="005C4630">
        <w:rPr>
          <w:color w:val="000000" w:themeColor="text1"/>
          <w:lang w:val="es-ES"/>
        </w:rPr>
        <w:lastRenderedPageBreak/>
        <w:t>política formidable"</w:t>
      </w:r>
      <w:r w:rsidRPr="005C4630">
        <w:rPr>
          <w:rStyle w:val="FootnoteReference"/>
          <w:color w:val="000000" w:themeColor="text1"/>
        </w:rPr>
        <w:footnoteReference w:id="6"/>
      </w:r>
      <w:r w:rsidRPr="005C4630">
        <w:rPr>
          <w:color w:val="000000" w:themeColor="text1"/>
          <w:lang w:val="es-ES"/>
        </w:rPr>
        <w:t xml:space="preserve">. Esta óptica permite acercarse a los cambios vividos, tanto radicales e inclusivos como incrementales y exclusivos, como tentativas de buena fe propuestas por parte de actores educados y partidistas. </w:t>
      </w:r>
    </w:p>
    <w:p w14:paraId="1226C6DD" w14:textId="59AEA926" w:rsidR="00936C95" w:rsidRPr="001C4D3B" w:rsidRDefault="00936C95" w:rsidP="001C4D3B">
      <w:pPr>
        <w:spacing w:line="360" w:lineRule="auto"/>
        <w:ind w:firstLine="284"/>
        <w:jc w:val="both"/>
        <w:rPr>
          <w:lang w:val="es-ES"/>
        </w:rPr>
      </w:pPr>
      <w:r w:rsidRPr="005C4630">
        <w:rPr>
          <w:lang w:val="es-ES"/>
        </w:rPr>
        <w:t>En las últimas décadas, los estudios centroamericanos enfocados en los procesos electorales decimonónicos han propuesto nuevos criterios importantes para evaluar los orígenes de la democracia centroamericana</w:t>
      </w:r>
      <w:r w:rsidRPr="005C4630">
        <w:rPr>
          <w:rStyle w:val="FootnoteReference"/>
          <w:lang w:val="es-ES"/>
        </w:rPr>
        <w:footnoteReference w:id="7"/>
      </w:r>
      <w:r w:rsidRPr="005C4630">
        <w:rPr>
          <w:lang w:val="es-ES"/>
        </w:rPr>
        <w:t>.</w:t>
      </w:r>
      <w:r w:rsidRPr="005C4630">
        <w:rPr>
          <w:rStyle w:val="FootnoteReference"/>
          <w:lang w:val="es-ES"/>
        </w:rPr>
        <w:t xml:space="preserve"> </w:t>
      </w:r>
      <w:r w:rsidRPr="005C4630">
        <w:rPr>
          <w:lang w:val="es-ES"/>
        </w:rPr>
        <w:t xml:space="preserve">Jorge García </w:t>
      </w:r>
      <w:proofErr w:type="spellStart"/>
      <w:r w:rsidRPr="005C4630">
        <w:rPr>
          <w:lang w:val="es-ES"/>
        </w:rPr>
        <w:t>Laguardia</w:t>
      </w:r>
      <w:proofErr w:type="spellEnd"/>
      <w:r w:rsidRPr="005C4630">
        <w:rPr>
          <w:lang w:val="es-ES"/>
        </w:rPr>
        <w:t xml:space="preserve"> realizó un importante estudio comparado del constitucionalismo en Cádiz y Centroamérica.</w:t>
      </w:r>
      <w:r w:rsidRPr="005C4630">
        <w:rPr>
          <w:rStyle w:val="FootnoteReference"/>
        </w:rPr>
        <w:footnoteReference w:id="8"/>
      </w:r>
      <w:r w:rsidRPr="005C4630">
        <w:rPr>
          <w:lang w:val="es-ES_tradnl"/>
        </w:rPr>
        <w:t xml:space="preserve"> </w:t>
      </w:r>
      <w:r w:rsidRPr="005C4630">
        <w:rPr>
          <w:lang w:val="es-ES"/>
        </w:rPr>
        <w:t xml:space="preserve"> Xiomara Avendaño estudió los procesos</w:t>
      </w:r>
      <w:r w:rsidRPr="001C4D3B">
        <w:rPr>
          <w:lang w:val="es-ES"/>
        </w:rPr>
        <w:t xml:space="preserve"> electorales en Guatemala, Nicaragua y la Federación, mientras que Clotilde Obregón Quesada </w:t>
      </w:r>
      <w:r w:rsidRPr="005C4630">
        <w:rPr>
          <w:lang w:val="es-ES"/>
        </w:rPr>
        <w:t>hizo lo propio con las elecciones presidenciales costarricenses</w:t>
      </w:r>
      <w:r w:rsidRPr="005C4630">
        <w:rPr>
          <w:rStyle w:val="FootnoteReference"/>
        </w:rPr>
        <w:footnoteReference w:id="9"/>
      </w:r>
      <w:r w:rsidRPr="005C4630">
        <w:rPr>
          <w:lang w:val="es-ES"/>
        </w:rPr>
        <w:t>.</w:t>
      </w:r>
      <w:r w:rsidRPr="005C4630">
        <w:rPr>
          <w:lang w:val="es-ES_tradnl"/>
        </w:rPr>
        <w:t xml:space="preserve"> </w:t>
      </w:r>
      <w:r w:rsidRPr="005C4630">
        <w:rPr>
          <w:lang w:val="es-ES"/>
        </w:rPr>
        <w:t xml:space="preserve"> El libro de Avendaño sobre las elecciones indirectas en Nicaragua concluyó que este sistema produjo una ciudadanía </w:t>
      </w:r>
      <w:r w:rsidR="00107AEB" w:rsidRPr="005C4630">
        <w:rPr>
          <w:lang w:val="es-ES"/>
        </w:rPr>
        <w:t xml:space="preserve">débil </w:t>
      </w:r>
      <w:r w:rsidRPr="005C4630">
        <w:rPr>
          <w:lang w:val="es-ES"/>
        </w:rPr>
        <w:t>ya que junto a lo "individual" se mantuvieron antiguas estructuras corporativas dominadas en su totalidad por las redes montadas por las élites familiares</w:t>
      </w:r>
      <w:r w:rsidRPr="001C4D3B">
        <w:rPr>
          <w:lang w:val="es-ES"/>
        </w:rPr>
        <w:t>.</w:t>
      </w:r>
      <w:r>
        <w:rPr>
          <w:lang w:val="es-ES"/>
        </w:rPr>
        <w:t xml:space="preserve"> </w:t>
      </w:r>
      <w:r w:rsidRPr="005C4630">
        <w:rPr>
          <w:lang w:val="es-ES"/>
        </w:rPr>
        <w:t xml:space="preserve">Discutir las tensiones entre la participación individual y comunitaria en la gobernanza fue así un paso importante para deshacerse de esa “camisa de fuerza” que exigía la pureza en los procesos políticos para considerarlos democráticos. Avendaño </w:t>
      </w:r>
      <w:r>
        <w:rPr>
          <w:lang w:val="es-ES"/>
        </w:rPr>
        <w:t xml:space="preserve">Rojas </w:t>
      </w:r>
      <w:r w:rsidRPr="005C4630">
        <w:rPr>
          <w:lang w:val="es-ES"/>
        </w:rPr>
        <w:t>proporcionó un punto de</w:t>
      </w:r>
      <w:r w:rsidRPr="001C4D3B">
        <w:rPr>
          <w:lang w:val="es-ES"/>
        </w:rPr>
        <w:t xml:space="preserve"> partida para incorporar el análisis de lo que Romana Falcón denominó el "arte de la petición" en la gobernanza democrática, un análisis aplicado</w:t>
      </w:r>
      <w:r>
        <w:rPr>
          <w:lang w:val="es-ES"/>
        </w:rPr>
        <w:t xml:space="preserve"> </w:t>
      </w:r>
      <w:r w:rsidRPr="001C4D3B">
        <w:rPr>
          <w:lang w:val="es-ES"/>
        </w:rPr>
        <w:t xml:space="preserve">por </w:t>
      </w:r>
      <w:proofErr w:type="spellStart"/>
      <w:r w:rsidRPr="001C4D3B">
        <w:rPr>
          <w:lang w:val="es-ES"/>
        </w:rPr>
        <w:t>Fabrice</w:t>
      </w:r>
      <w:proofErr w:type="spellEnd"/>
      <w:r w:rsidRPr="001C4D3B">
        <w:rPr>
          <w:lang w:val="es-ES"/>
        </w:rPr>
        <w:t xml:space="preserve"> </w:t>
      </w:r>
      <w:proofErr w:type="spellStart"/>
      <w:r w:rsidRPr="001C4D3B">
        <w:rPr>
          <w:lang w:val="es-ES"/>
        </w:rPr>
        <w:t>Lehoucq</w:t>
      </w:r>
      <w:proofErr w:type="spellEnd"/>
      <w:r w:rsidRPr="001C4D3B">
        <w:rPr>
          <w:lang w:val="es-ES"/>
        </w:rPr>
        <w:t xml:space="preserve"> e Iván Molina en Costa Rica para comprender la eliminación gradual del fraude electoral a principios del siglo XX</w:t>
      </w:r>
      <w:r w:rsidRPr="001C4D3B">
        <w:rPr>
          <w:rStyle w:val="FootnoteReference"/>
        </w:rPr>
        <w:footnoteReference w:id="10"/>
      </w:r>
      <w:r>
        <w:rPr>
          <w:lang w:val="es-ES"/>
        </w:rPr>
        <w:t>.</w:t>
      </w:r>
      <w:r w:rsidRPr="001C4D3B">
        <w:rPr>
          <w:lang w:val="es-ES"/>
        </w:rPr>
        <w:t xml:space="preserve"> </w:t>
      </w:r>
      <w:r w:rsidRPr="005C4630">
        <w:rPr>
          <w:lang w:val="es-ES"/>
        </w:rPr>
        <w:t xml:space="preserve">Desde otro enfoque metodológico, Sonia </w:t>
      </w:r>
      <w:proofErr w:type="spellStart"/>
      <w:r w:rsidRPr="005C4630">
        <w:rPr>
          <w:lang w:val="es-ES"/>
        </w:rPr>
        <w:t>Alda</w:t>
      </w:r>
      <w:proofErr w:type="spellEnd"/>
      <w:r w:rsidRPr="005C4630">
        <w:rPr>
          <w:lang w:val="es-ES"/>
        </w:rPr>
        <w:t xml:space="preserve"> Mejías propuso una nueva comprensión de la política indígena y electoral en la Guatemala decimonónica. </w:t>
      </w:r>
      <w:proofErr w:type="spellStart"/>
      <w:r w:rsidR="00A80994">
        <w:rPr>
          <w:lang w:val="es-ES"/>
        </w:rPr>
        <w:t>Alda</w:t>
      </w:r>
      <w:proofErr w:type="spellEnd"/>
      <w:r w:rsidR="00A80994">
        <w:rPr>
          <w:lang w:val="es-ES"/>
        </w:rPr>
        <w:t xml:space="preserve"> Mejías pone énfasis</w:t>
      </w:r>
      <w:r w:rsidRPr="005C4630">
        <w:rPr>
          <w:lang w:val="es-ES"/>
        </w:rPr>
        <w:t xml:space="preserve"> en la importancia de las elecciones, incluso en tiempos de revolución, como medio para confirmar las transiciones políticas de poder -"el derecho de insurrección"</w:t>
      </w:r>
      <w:r w:rsidR="00A80994">
        <w:rPr>
          <w:lang w:val="es-ES"/>
        </w:rPr>
        <w:t>. Esto</w:t>
      </w:r>
      <w:r w:rsidRPr="005C4630">
        <w:rPr>
          <w:lang w:val="es-ES"/>
        </w:rPr>
        <w:t xml:space="preserve"> condujo a evitar las suposiciones de que existe una comprensión única y correcta de la soberanía popular, así como </w:t>
      </w:r>
      <w:r w:rsidR="00A80994">
        <w:rPr>
          <w:lang w:val="es-ES"/>
        </w:rPr>
        <w:t xml:space="preserve">de </w:t>
      </w:r>
      <w:r w:rsidRPr="005C4630">
        <w:rPr>
          <w:lang w:val="es-ES"/>
        </w:rPr>
        <w:t xml:space="preserve">que la dependencia parcial de las prácticas democráticas deriva de su </w:t>
      </w:r>
      <w:r w:rsidRPr="005C4630">
        <w:rPr>
          <w:lang w:val="es-ES"/>
        </w:rPr>
        <w:lastRenderedPageBreak/>
        <w:t>ineficiente implementación</w:t>
      </w:r>
      <w:r w:rsidRPr="005C4630">
        <w:rPr>
          <w:rStyle w:val="FootnoteReference"/>
        </w:rPr>
        <w:footnoteReference w:id="11"/>
      </w:r>
      <w:r w:rsidRPr="005C4630">
        <w:rPr>
          <w:lang w:val="es-ES"/>
        </w:rPr>
        <w:t>. A diferencia de Avendaño</w:t>
      </w:r>
      <w:r>
        <w:rPr>
          <w:lang w:val="es-ES"/>
        </w:rPr>
        <w:t xml:space="preserve"> Rojas</w:t>
      </w:r>
      <w:r w:rsidRPr="005C4630">
        <w:rPr>
          <w:lang w:val="es-ES"/>
        </w:rPr>
        <w:t xml:space="preserve">, </w:t>
      </w:r>
      <w:proofErr w:type="spellStart"/>
      <w:r w:rsidRPr="005C4630">
        <w:rPr>
          <w:lang w:val="es-ES"/>
        </w:rPr>
        <w:t>Alda</w:t>
      </w:r>
      <w:proofErr w:type="spellEnd"/>
      <w:r w:rsidRPr="005C4630">
        <w:rPr>
          <w:lang w:val="es-ES"/>
        </w:rPr>
        <w:t xml:space="preserve"> Mejías destaca la importancia de los agentes populares, incluyendo</w:t>
      </w:r>
      <w:r w:rsidRPr="001C4D3B">
        <w:rPr>
          <w:lang w:val="es-ES"/>
        </w:rPr>
        <w:t xml:space="preserve"> a las comunidades indígenas. </w:t>
      </w:r>
      <w:r>
        <w:rPr>
          <w:lang w:val="es-ES"/>
        </w:rPr>
        <w:t>Trabajos adicionales</w:t>
      </w:r>
      <w:r w:rsidRPr="001C4D3B">
        <w:rPr>
          <w:lang w:val="es-ES"/>
        </w:rPr>
        <w:t xml:space="preserve"> </w:t>
      </w:r>
      <w:r>
        <w:rPr>
          <w:lang w:val="es-ES"/>
        </w:rPr>
        <w:t>de</w:t>
      </w:r>
      <w:r w:rsidRPr="001C4D3B">
        <w:rPr>
          <w:lang w:val="es-ES"/>
        </w:rPr>
        <w:t xml:space="preserve"> Avendaño</w:t>
      </w:r>
      <w:r>
        <w:rPr>
          <w:lang w:val="es-ES"/>
        </w:rPr>
        <w:t xml:space="preserve"> Rojas,</w:t>
      </w:r>
      <w:r w:rsidRPr="001C4D3B">
        <w:rPr>
          <w:lang w:val="es-ES"/>
        </w:rPr>
        <w:t xml:space="preserve"> </w:t>
      </w:r>
      <w:proofErr w:type="spellStart"/>
      <w:r w:rsidRPr="001C4D3B">
        <w:rPr>
          <w:lang w:val="es-ES"/>
        </w:rPr>
        <w:t>Sajid</w:t>
      </w:r>
      <w:proofErr w:type="spellEnd"/>
      <w:r w:rsidRPr="001C4D3B">
        <w:rPr>
          <w:lang w:val="es-ES"/>
        </w:rPr>
        <w:t xml:space="preserve"> Herrera Mena sobre El Salvador y Ricardo Danilo </w:t>
      </w:r>
      <w:proofErr w:type="spellStart"/>
      <w:r w:rsidRPr="001C4D3B">
        <w:rPr>
          <w:lang w:val="es-ES"/>
        </w:rPr>
        <w:t>Dardón</w:t>
      </w:r>
      <w:proofErr w:type="spellEnd"/>
      <w:r w:rsidRPr="001C4D3B">
        <w:rPr>
          <w:lang w:val="es-ES"/>
        </w:rPr>
        <w:t xml:space="preserve"> Flores sobre Guatemala, sugieren </w:t>
      </w:r>
      <w:r>
        <w:rPr>
          <w:lang w:val="es-ES"/>
        </w:rPr>
        <w:t xml:space="preserve">un creciente interés en el tema </w:t>
      </w:r>
      <w:r w:rsidRPr="005C4630">
        <w:rPr>
          <w:lang w:val="es-ES"/>
        </w:rPr>
        <w:t>electoral</w:t>
      </w:r>
      <w:r w:rsidRPr="005C4630">
        <w:rPr>
          <w:rStyle w:val="FootnoteReference"/>
        </w:rPr>
        <w:footnoteReference w:id="12"/>
      </w:r>
      <w:r w:rsidRPr="005C4630">
        <w:rPr>
          <w:lang w:val="es-ES"/>
        </w:rPr>
        <w:t>.</w:t>
      </w:r>
    </w:p>
    <w:p w14:paraId="74A7BAF6" w14:textId="51A1DA70" w:rsidR="00936C95" w:rsidRPr="001C4D3B" w:rsidRDefault="00936C95" w:rsidP="001C4D3B">
      <w:pPr>
        <w:spacing w:line="360" w:lineRule="auto"/>
        <w:ind w:firstLine="284"/>
        <w:jc w:val="both"/>
        <w:rPr>
          <w:lang w:val="es-ES"/>
        </w:rPr>
      </w:pPr>
      <w:r w:rsidRPr="005C4630">
        <w:rPr>
          <w:lang w:val="es-ES"/>
        </w:rPr>
        <w:t xml:space="preserve">A partir de estos estudios, este artículo explora </w:t>
      </w:r>
      <w:r w:rsidR="00D9226D">
        <w:rPr>
          <w:lang w:val="es-ES"/>
        </w:rPr>
        <w:t>la evolución</w:t>
      </w:r>
      <w:r w:rsidRPr="005C4630">
        <w:rPr>
          <w:lang w:val="es-ES"/>
        </w:rPr>
        <w:t xml:space="preserve"> de la </w:t>
      </w:r>
      <w:r w:rsidR="00A50D9A">
        <w:rPr>
          <w:lang w:val="es-ES"/>
        </w:rPr>
        <w:t xml:space="preserve">forma particular de la </w:t>
      </w:r>
      <w:r w:rsidR="00D9226D">
        <w:rPr>
          <w:lang w:val="es-ES"/>
        </w:rPr>
        <w:t>selección de autoridades</w:t>
      </w:r>
      <w:r w:rsidR="00D9226D" w:rsidRPr="005C4630">
        <w:rPr>
          <w:lang w:val="es-ES"/>
        </w:rPr>
        <w:t xml:space="preserve"> </w:t>
      </w:r>
      <w:r w:rsidRPr="005C4630">
        <w:rPr>
          <w:lang w:val="es-ES"/>
        </w:rPr>
        <w:t>en</w:t>
      </w:r>
      <w:r w:rsidRPr="001C4D3B">
        <w:rPr>
          <w:lang w:val="es-ES"/>
        </w:rPr>
        <w:t xml:space="preserve"> Centroamérica </w:t>
      </w:r>
      <w:r>
        <w:rPr>
          <w:lang w:val="es-ES"/>
        </w:rPr>
        <w:t>en la confluencia</w:t>
      </w:r>
      <w:r w:rsidRPr="001C4D3B">
        <w:rPr>
          <w:lang w:val="es-ES"/>
        </w:rPr>
        <w:t xml:space="preserve"> entre las innovaciones de la era de las revoluciones, específicamente en el "experimento de Cádiz" y el constitucionalismo moderno, </w:t>
      </w:r>
      <w:r>
        <w:rPr>
          <w:lang w:val="es-ES"/>
        </w:rPr>
        <w:t>y</w:t>
      </w:r>
      <w:r w:rsidRPr="001C4D3B">
        <w:rPr>
          <w:lang w:val="es-ES"/>
        </w:rPr>
        <w:t xml:space="preserve"> </w:t>
      </w:r>
      <w:r w:rsidR="00D9226D">
        <w:rPr>
          <w:lang w:val="es-ES"/>
        </w:rPr>
        <w:t>su</w:t>
      </w:r>
      <w:r w:rsidR="002307FD">
        <w:rPr>
          <w:lang w:val="es-ES"/>
        </w:rPr>
        <w:t xml:space="preserve">s bases en </w:t>
      </w:r>
      <w:r w:rsidRPr="001C4D3B">
        <w:rPr>
          <w:lang w:val="es-ES"/>
        </w:rPr>
        <w:t xml:space="preserve">los derechos y </w:t>
      </w:r>
      <w:r w:rsidRPr="005C4630">
        <w:rPr>
          <w:lang w:val="es-ES"/>
        </w:rPr>
        <w:t>prácticas políticas tradicionales de la comunidad</w:t>
      </w:r>
      <w:r w:rsidR="002307FD">
        <w:rPr>
          <w:lang w:val="es-ES"/>
        </w:rPr>
        <w:t>.  Se encuentran</w:t>
      </w:r>
      <w:r w:rsidRPr="005C4630">
        <w:rPr>
          <w:lang w:val="es-ES"/>
        </w:rPr>
        <w:t xml:space="preserve"> transformadas estas últimas por el voto</w:t>
      </w:r>
      <w:r w:rsidRPr="001C4D3B">
        <w:rPr>
          <w:lang w:val="es-ES"/>
        </w:rPr>
        <w:t xml:space="preserve"> popular, </w:t>
      </w:r>
      <w:r>
        <w:rPr>
          <w:lang w:val="es-ES"/>
        </w:rPr>
        <w:t xml:space="preserve">la </w:t>
      </w:r>
      <w:r w:rsidRPr="001C4D3B">
        <w:rPr>
          <w:lang w:val="es-ES"/>
        </w:rPr>
        <w:t xml:space="preserve">petición, </w:t>
      </w:r>
      <w:r>
        <w:rPr>
          <w:lang w:val="es-ES"/>
        </w:rPr>
        <w:t xml:space="preserve">el </w:t>
      </w:r>
      <w:r w:rsidRPr="001C4D3B">
        <w:rPr>
          <w:lang w:val="es-ES"/>
        </w:rPr>
        <w:t xml:space="preserve">pronunciamiento y la insurrección, </w:t>
      </w:r>
      <w:r w:rsidR="002307FD">
        <w:rPr>
          <w:lang w:val="es-ES"/>
        </w:rPr>
        <w:t>pero con continuidades</w:t>
      </w:r>
      <w:r w:rsidR="002307FD" w:rsidRPr="001C4D3B">
        <w:rPr>
          <w:lang w:val="es-ES"/>
        </w:rPr>
        <w:t xml:space="preserve"> </w:t>
      </w:r>
      <w:r w:rsidRPr="001C4D3B">
        <w:rPr>
          <w:lang w:val="es-ES"/>
        </w:rPr>
        <w:t xml:space="preserve">por las </w:t>
      </w:r>
      <w:proofErr w:type="gramStart"/>
      <w:r w:rsidRPr="001C4D3B">
        <w:rPr>
          <w:lang w:val="es-ES"/>
        </w:rPr>
        <w:t xml:space="preserve">prácticas </w:t>
      </w:r>
      <w:r w:rsidR="002307FD">
        <w:rPr>
          <w:lang w:val="es-ES"/>
        </w:rPr>
        <w:t xml:space="preserve"> (</w:t>
      </w:r>
      <w:proofErr w:type="gramEnd"/>
      <w:r w:rsidR="002307FD">
        <w:rPr>
          <w:lang w:val="es-ES"/>
        </w:rPr>
        <w:t xml:space="preserve">sino las formas) </w:t>
      </w:r>
      <w:r w:rsidRPr="001C4D3B">
        <w:rPr>
          <w:lang w:val="es-ES"/>
        </w:rPr>
        <w:t xml:space="preserve">de selección de </w:t>
      </w:r>
      <w:r w:rsidRPr="005C4630">
        <w:rPr>
          <w:lang w:val="es-ES"/>
        </w:rPr>
        <w:t xml:space="preserve">candidatos, la calificación de los </w:t>
      </w:r>
      <w:r w:rsidRPr="005C4630">
        <w:rPr>
          <w:color w:val="000000" w:themeColor="text1"/>
          <w:lang w:val="es-ES"/>
        </w:rPr>
        <w:t xml:space="preserve">votos y de nombramientos de mandatarios, y las diferentes forma de ‘consulta’ que </w:t>
      </w:r>
      <w:r w:rsidR="00A50D9A">
        <w:rPr>
          <w:color w:val="000000" w:themeColor="text1"/>
          <w:lang w:val="es-ES"/>
        </w:rPr>
        <w:t>involucraron</w:t>
      </w:r>
      <w:r w:rsidR="00A50D9A" w:rsidRPr="005C4630">
        <w:rPr>
          <w:color w:val="000000" w:themeColor="text1"/>
          <w:lang w:val="es-ES"/>
        </w:rPr>
        <w:t xml:space="preserve"> </w:t>
      </w:r>
      <w:r w:rsidRPr="005C4630">
        <w:rPr>
          <w:color w:val="000000" w:themeColor="text1"/>
          <w:lang w:val="es-ES"/>
        </w:rPr>
        <w:t>a diferentes individuos</w:t>
      </w:r>
      <w:r w:rsidR="00A50D9A">
        <w:rPr>
          <w:color w:val="000000" w:themeColor="text1"/>
          <w:lang w:val="es-ES"/>
        </w:rPr>
        <w:t xml:space="preserve"> y organismos estatales en las decisiones electorales</w:t>
      </w:r>
      <w:r w:rsidRPr="005C4630">
        <w:rPr>
          <w:color w:val="000000" w:themeColor="text1"/>
          <w:lang w:val="es-ES"/>
        </w:rPr>
        <w:t>. En suma</w:t>
      </w:r>
      <w:r w:rsidRPr="005C4630">
        <w:rPr>
          <w:lang w:val="es-ES"/>
        </w:rPr>
        <w:t>, se sugiere abordar dos temas para el caso de la institucionalización de la democracia en Centroamérica que parecen haber</w:t>
      </w:r>
      <w:r w:rsidRPr="001C4D3B">
        <w:rPr>
          <w:lang w:val="es-ES"/>
        </w:rPr>
        <w:t xml:space="preserve"> </w:t>
      </w:r>
      <w:r w:rsidRPr="005C4630">
        <w:rPr>
          <w:lang w:val="es-ES"/>
        </w:rPr>
        <w:t>recibido menos atención. El primer tema sería analizar el papel de</w:t>
      </w:r>
      <w:r w:rsidR="005B3D9E">
        <w:rPr>
          <w:lang w:val="es-ES"/>
        </w:rPr>
        <w:t xml:space="preserve"> </w:t>
      </w:r>
      <w:r w:rsidRPr="005C4630">
        <w:rPr>
          <w:lang w:val="es-ES"/>
        </w:rPr>
        <w:t>la selección – y no tanto la</w:t>
      </w:r>
      <w:r w:rsidRPr="001C4D3B">
        <w:rPr>
          <w:lang w:val="es-ES"/>
        </w:rPr>
        <w:t xml:space="preserve"> elección— de las autoridades nacionales y estatales como parte integral del sistema político, con raíces en tradiciones pactistas</w:t>
      </w:r>
      <w:r w:rsidR="005B3D9E">
        <w:rPr>
          <w:lang w:val="es-ES"/>
        </w:rPr>
        <w:t xml:space="preserve">. </w:t>
      </w:r>
      <w:r w:rsidR="00A50D9A">
        <w:rPr>
          <w:lang w:val="es-ES"/>
        </w:rPr>
        <w:t>Específicamente</w:t>
      </w:r>
      <w:r w:rsidR="005B3D9E">
        <w:rPr>
          <w:lang w:val="es-ES"/>
        </w:rPr>
        <w:t>, se considera las raíces d</w:t>
      </w:r>
      <w:r w:rsidRPr="001C4D3B">
        <w:rPr>
          <w:lang w:val="es-ES"/>
        </w:rPr>
        <w:t>el nombramiento por las autoridades ejecutivas y legislativas a funcionarios y miembros de gobierno cuando el proceso electoral no</w:t>
      </w:r>
      <w:r>
        <w:rPr>
          <w:lang w:val="es-ES"/>
        </w:rPr>
        <w:t xml:space="preserve"> produjo un </w:t>
      </w:r>
      <w:r w:rsidRPr="005C4630">
        <w:rPr>
          <w:lang w:val="es-ES"/>
        </w:rPr>
        <w:t>candidato viable. El segundo tema a tratar sería formular un marco analítico común para considerar las elecciones locales y federales o estatales.</w:t>
      </w:r>
      <w:r w:rsidRPr="001C4D3B">
        <w:rPr>
          <w:lang w:val="es-ES"/>
        </w:rPr>
        <w:t xml:space="preserve"> </w:t>
      </w:r>
    </w:p>
    <w:p w14:paraId="61BC75C9" w14:textId="77777777" w:rsidR="00936C95" w:rsidRPr="006028E0" w:rsidRDefault="00936C95" w:rsidP="001C4D3B">
      <w:pPr>
        <w:spacing w:line="360" w:lineRule="auto"/>
        <w:ind w:firstLine="284"/>
        <w:jc w:val="both"/>
        <w:rPr>
          <w:lang w:val="es-ES"/>
        </w:rPr>
      </w:pPr>
    </w:p>
    <w:p w14:paraId="15FF9B21" w14:textId="77777777" w:rsidR="00936C95" w:rsidRPr="001C4D3B" w:rsidRDefault="00936C95" w:rsidP="00B10F9B">
      <w:pPr>
        <w:spacing w:line="360" w:lineRule="auto"/>
        <w:jc w:val="both"/>
        <w:rPr>
          <w:b/>
          <w:i/>
          <w:lang w:val="es-ES"/>
        </w:rPr>
      </w:pPr>
      <w:r w:rsidRPr="001C4D3B">
        <w:rPr>
          <w:b/>
          <w:lang w:val="es-ES"/>
        </w:rPr>
        <w:t xml:space="preserve">Elecciones </w:t>
      </w:r>
      <w:proofErr w:type="spellStart"/>
      <w:r w:rsidRPr="001C4D3B">
        <w:rPr>
          <w:b/>
          <w:i/>
          <w:lang w:val="es-ES"/>
        </w:rPr>
        <w:t>avant</w:t>
      </w:r>
      <w:proofErr w:type="spellEnd"/>
      <w:r w:rsidRPr="001C4D3B">
        <w:rPr>
          <w:b/>
          <w:i/>
          <w:lang w:val="es-ES"/>
        </w:rPr>
        <w:t xml:space="preserve"> la </w:t>
      </w:r>
      <w:proofErr w:type="spellStart"/>
      <w:r w:rsidRPr="001C4D3B">
        <w:rPr>
          <w:b/>
          <w:i/>
          <w:lang w:val="es-ES"/>
        </w:rPr>
        <w:t>lettre</w:t>
      </w:r>
      <w:proofErr w:type="spellEnd"/>
    </w:p>
    <w:p w14:paraId="09EF052D" w14:textId="77777777" w:rsidR="00936C95" w:rsidRPr="001C4D3B" w:rsidRDefault="00936C95" w:rsidP="001C4D3B">
      <w:pPr>
        <w:spacing w:line="360" w:lineRule="auto"/>
        <w:ind w:firstLine="284"/>
        <w:jc w:val="both"/>
        <w:rPr>
          <w:lang w:val="es-ES"/>
        </w:rPr>
      </w:pPr>
    </w:p>
    <w:p w14:paraId="31A64E10" w14:textId="1D88D63D" w:rsidR="00936C95" w:rsidRPr="001C4D3B" w:rsidRDefault="00936C95" w:rsidP="001C4D3B">
      <w:pPr>
        <w:spacing w:line="360" w:lineRule="auto"/>
        <w:ind w:firstLine="284"/>
        <w:jc w:val="both"/>
        <w:rPr>
          <w:lang w:val="es-ES"/>
        </w:rPr>
      </w:pPr>
      <w:r w:rsidRPr="001C4D3B">
        <w:rPr>
          <w:lang w:val="es-ES"/>
        </w:rPr>
        <w:t>Aunque en muchos casos se estudia los procesos democráticos y electorales hispanoamericanos a partir de la monarquía constitucional establecida entre 1808-1814, es importante reconocer que el antiguo régimen ofrecía formas de elección y representación limitadas pero</w:t>
      </w:r>
      <w:r>
        <w:rPr>
          <w:lang w:val="es-ES"/>
        </w:rPr>
        <w:t xml:space="preserve"> importantes</w:t>
      </w:r>
      <w:r w:rsidRPr="001C4D3B">
        <w:rPr>
          <w:rStyle w:val="FootnoteReference"/>
          <w:lang w:val="es-ES"/>
        </w:rPr>
        <w:footnoteReference w:id="13"/>
      </w:r>
      <w:r w:rsidR="00A50D9A">
        <w:rPr>
          <w:lang w:val="es-ES"/>
        </w:rPr>
        <w:t>, iguales como otros gobiernos europeos</w:t>
      </w:r>
      <w:r>
        <w:rPr>
          <w:lang w:val="es-ES"/>
        </w:rPr>
        <w:t>.</w:t>
      </w:r>
      <w:r w:rsidR="00A50D9A">
        <w:rPr>
          <w:rStyle w:val="FootnoteReference"/>
          <w:lang w:val="es-ES"/>
        </w:rPr>
        <w:footnoteReference w:id="14"/>
      </w:r>
      <w:r w:rsidRPr="001C4D3B">
        <w:rPr>
          <w:lang w:val="es-ES"/>
        </w:rPr>
        <w:t xml:space="preserve">  Estos procesos </w:t>
      </w:r>
      <w:r w:rsidR="005B3D9E">
        <w:rPr>
          <w:lang w:val="es-ES"/>
        </w:rPr>
        <w:t xml:space="preserve">para los que ofrezco el neologismo </w:t>
      </w:r>
      <w:r w:rsidR="005B3D9E">
        <w:rPr>
          <w:lang w:val="es-ES"/>
        </w:rPr>
        <w:lastRenderedPageBreak/>
        <w:t>“</w:t>
      </w:r>
      <w:proofErr w:type="spellStart"/>
      <w:r w:rsidR="005B3D9E">
        <w:rPr>
          <w:lang w:val="es-ES"/>
        </w:rPr>
        <w:t>selectorales</w:t>
      </w:r>
      <w:proofErr w:type="spellEnd"/>
      <w:r w:rsidR="005B3D9E">
        <w:rPr>
          <w:lang w:val="es-ES"/>
        </w:rPr>
        <w:t>”</w:t>
      </w:r>
      <w:r>
        <w:rPr>
          <w:lang w:val="es-ES"/>
        </w:rPr>
        <w:t xml:space="preserve"> </w:t>
      </w:r>
      <w:r w:rsidRPr="001C4D3B">
        <w:rPr>
          <w:lang w:val="es-ES"/>
        </w:rPr>
        <w:t>y ‘consultivos’ eran fundamentales y fundacionales en preparar los actores políticos independentistas.</w:t>
      </w:r>
      <w:r w:rsidR="00A673E9">
        <w:rPr>
          <w:rStyle w:val="FootnoteReference"/>
          <w:lang w:val="es-ES"/>
        </w:rPr>
        <w:footnoteReference w:id="15"/>
      </w:r>
      <w:r w:rsidRPr="001C4D3B">
        <w:rPr>
          <w:lang w:val="es-ES"/>
        </w:rPr>
        <w:t xml:space="preserve"> </w:t>
      </w:r>
      <w:r w:rsidR="003F1B72">
        <w:rPr>
          <w:lang w:val="es-ES"/>
        </w:rPr>
        <w:t xml:space="preserve"> </w:t>
      </w:r>
    </w:p>
    <w:p w14:paraId="540D96ED" w14:textId="693C9AE4" w:rsidR="00936C95" w:rsidRPr="00D85E1B" w:rsidRDefault="00936C95" w:rsidP="001C4D3B">
      <w:pPr>
        <w:spacing w:line="360" w:lineRule="auto"/>
        <w:ind w:firstLine="284"/>
        <w:jc w:val="both"/>
        <w:rPr>
          <w:color w:val="000000" w:themeColor="text1"/>
          <w:highlight w:val="green"/>
          <w:lang w:val="es-ES"/>
        </w:rPr>
      </w:pPr>
      <w:r w:rsidRPr="001C4D3B">
        <w:rPr>
          <w:lang w:val="es-ES"/>
        </w:rPr>
        <w:t xml:space="preserve">Los procesos </w:t>
      </w:r>
      <w:r w:rsidRPr="00B148E3">
        <w:rPr>
          <w:color w:val="000000" w:themeColor="text1"/>
          <w:lang w:val="es-ES"/>
        </w:rPr>
        <w:t>‘</w:t>
      </w:r>
      <w:proofErr w:type="spellStart"/>
      <w:r w:rsidRPr="00B148E3">
        <w:rPr>
          <w:color w:val="000000" w:themeColor="text1"/>
          <w:lang w:val="es-ES"/>
        </w:rPr>
        <w:t>selectorales</w:t>
      </w:r>
      <w:proofErr w:type="spellEnd"/>
      <w:r w:rsidRPr="00B148E3">
        <w:rPr>
          <w:color w:val="000000" w:themeColor="text1"/>
          <w:lang w:val="es-ES"/>
        </w:rPr>
        <w:t>’</w:t>
      </w:r>
      <w:r w:rsidR="003F1B72">
        <w:rPr>
          <w:color w:val="000000" w:themeColor="text1"/>
          <w:lang w:val="es-ES"/>
        </w:rPr>
        <w:t xml:space="preserve"> </w:t>
      </w:r>
      <w:r w:rsidRPr="00B148E3">
        <w:rPr>
          <w:color w:val="000000" w:themeColor="text1"/>
          <w:lang w:val="es-ES"/>
        </w:rPr>
        <w:t>permitían</w:t>
      </w:r>
      <w:r w:rsidRPr="001C4D3B">
        <w:rPr>
          <w:lang w:val="es-ES"/>
        </w:rPr>
        <w:t xml:space="preserve"> a funcionarios e instituciones influir en decisiones de</w:t>
      </w:r>
      <w:r>
        <w:rPr>
          <w:lang w:val="es-ES"/>
        </w:rPr>
        <w:t xml:space="preserve"> </w:t>
      </w:r>
      <w:r w:rsidRPr="005C4630">
        <w:rPr>
          <w:color w:val="000000" w:themeColor="text1"/>
          <w:lang w:val="es-ES"/>
        </w:rPr>
        <w:t>los mandatarios</w:t>
      </w:r>
      <w:r w:rsidR="00B333A9">
        <w:rPr>
          <w:color w:val="000000" w:themeColor="text1"/>
          <w:lang w:val="es-ES"/>
        </w:rPr>
        <w:t xml:space="preserve"> después del voto ciudada</w:t>
      </w:r>
      <w:r w:rsidR="002307FD">
        <w:rPr>
          <w:color w:val="000000" w:themeColor="text1"/>
          <w:lang w:val="es-ES"/>
        </w:rPr>
        <w:t>n</w:t>
      </w:r>
      <w:r w:rsidR="00B333A9">
        <w:rPr>
          <w:color w:val="000000" w:themeColor="text1"/>
          <w:lang w:val="es-ES"/>
        </w:rPr>
        <w:t>o</w:t>
      </w:r>
      <w:r w:rsidRPr="005C4630">
        <w:rPr>
          <w:color w:val="000000" w:themeColor="text1"/>
          <w:lang w:val="es-ES"/>
        </w:rPr>
        <w:t>.  A modo de ejemplo, los burócratas del Consejo de Indias, prepararon ternas para que el Rey seleccionara funcionarios seculares y religiosos, consultando y sintetizando los ‘servicios y méritos’ preparados por los interesados para formar sus recomendaciones. En la América española, el Istmo centroamericano incluyó un sistema limitado de elección y selección de funcionarios locales cuya existencia databa del siglo XVI. Los concejales de las ciudades y</w:t>
      </w:r>
      <w:r w:rsidRPr="001C4D3B">
        <w:rPr>
          <w:lang w:val="es-ES"/>
        </w:rPr>
        <w:t xml:space="preserve"> villas de españoles eligieron anualmente sus alcaldes, síndicos, y otros puestos municipales entre </w:t>
      </w:r>
      <w:r w:rsidRPr="005C4630">
        <w:rPr>
          <w:lang w:val="es-ES"/>
        </w:rPr>
        <w:t xml:space="preserve">sus miembros y antiguos miembros. Hasta puestos vendibles, como los </w:t>
      </w:r>
      <w:r w:rsidRPr="005C4630">
        <w:rPr>
          <w:i/>
          <w:lang w:val="es-ES"/>
        </w:rPr>
        <w:t>regimientos</w:t>
      </w:r>
      <w:r w:rsidRPr="005C4630">
        <w:rPr>
          <w:lang w:val="es-ES"/>
        </w:rPr>
        <w:t>, podían convertirse en puestos bianualmente electos entre antiguos miembros del cabildo cuando carecían de compradores. Entre 1776 y</w:t>
      </w:r>
      <w:r w:rsidRPr="001C4D3B">
        <w:rPr>
          <w:lang w:val="es-ES"/>
        </w:rPr>
        <w:t xml:space="preserve"> la crisis</w:t>
      </w:r>
      <w:r>
        <w:rPr>
          <w:lang w:val="es-ES"/>
        </w:rPr>
        <w:t xml:space="preserve"> política de 1808, </w:t>
      </w:r>
      <w:r w:rsidRPr="001C4D3B">
        <w:rPr>
          <w:lang w:val="es-ES"/>
        </w:rPr>
        <w:t xml:space="preserve">en la capital de </w:t>
      </w:r>
      <w:r w:rsidRPr="00E05076">
        <w:rPr>
          <w:lang w:val="es-ES"/>
        </w:rPr>
        <w:t xml:space="preserve">Guatemala, un </w:t>
      </w:r>
      <w:r w:rsidRPr="005C4630">
        <w:rPr>
          <w:lang w:val="es-ES"/>
        </w:rPr>
        <w:t xml:space="preserve">boicot obligó al ayuntamiento a organizar elecciones bianuales para todos los </w:t>
      </w:r>
      <w:r w:rsidRPr="005C4630">
        <w:rPr>
          <w:i/>
          <w:lang w:val="es-ES"/>
        </w:rPr>
        <w:t>regimientos</w:t>
      </w:r>
      <w:r w:rsidRPr="005C4630">
        <w:rPr>
          <w:lang w:val="es-ES"/>
        </w:rPr>
        <w:t>,</w:t>
      </w:r>
      <w:r w:rsidRPr="001C4D3B">
        <w:rPr>
          <w:lang w:val="es-ES"/>
        </w:rPr>
        <w:t xml:space="preserve"> permitiendo compartir cargos entre vecinos y además alternar entre peninsulares y americanos</w:t>
      </w:r>
      <w:r w:rsidRPr="001C4D3B">
        <w:rPr>
          <w:rStyle w:val="FootnoteReference"/>
        </w:rPr>
        <w:footnoteReference w:id="16"/>
      </w:r>
      <w:r>
        <w:rPr>
          <w:lang w:val="es-ES"/>
        </w:rPr>
        <w:t>.</w:t>
      </w:r>
      <w:r w:rsidRPr="001C4D3B">
        <w:rPr>
          <w:lang w:val="es-ES_tradnl"/>
        </w:rPr>
        <w:t xml:space="preserve"> </w:t>
      </w:r>
      <w:r w:rsidRPr="001C4D3B">
        <w:rPr>
          <w:lang w:val="es-ES"/>
        </w:rPr>
        <w:t xml:space="preserve"> </w:t>
      </w:r>
    </w:p>
    <w:p w14:paraId="2863D725" w14:textId="550F1B3B" w:rsidR="00936C95" w:rsidRPr="001C4D3B" w:rsidRDefault="00936C95" w:rsidP="001C4D3B">
      <w:pPr>
        <w:spacing w:line="360" w:lineRule="auto"/>
        <w:ind w:firstLine="284"/>
        <w:jc w:val="both"/>
        <w:rPr>
          <w:lang w:val="es-ES_tradnl"/>
        </w:rPr>
      </w:pPr>
      <w:r w:rsidRPr="001C4D3B">
        <w:rPr>
          <w:lang w:val="es-ES"/>
        </w:rPr>
        <w:t xml:space="preserve">El proceso </w:t>
      </w:r>
      <w:r w:rsidRPr="00B148E3">
        <w:rPr>
          <w:color w:val="FF0000"/>
          <w:lang w:val="es-ES"/>
        </w:rPr>
        <w:t>‘</w:t>
      </w:r>
      <w:proofErr w:type="spellStart"/>
      <w:r w:rsidRPr="00B148E3">
        <w:rPr>
          <w:lang w:val="es-ES"/>
        </w:rPr>
        <w:t>selectoral</w:t>
      </w:r>
      <w:proofErr w:type="spellEnd"/>
      <w:r w:rsidRPr="00B148E3">
        <w:rPr>
          <w:lang w:val="es-ES"/>
        </w:rPr>
        <w:t>’</w:t>
      </w:r>
      <w:r>
        <w:rPr>
          <w:lang w:val="es-ES"/>
        </w:rPr>
        <w:t xml:space="preserve"> </w:t>
      </w:r>
      <w:r w:rsidRPr="001C4D3B">
        <w:rPr>
          <w:lang w:val="es-ES"/>
        </w:rPr>
        <w:t>pre-</w:t>
      </w:r>
      <w:r w:rsidRPr="00BC6C1A">
        <w:rPr>
          <w:lang w:val="es-ES"/>
        </w:rPr>
        <w:t>independentista no se limitó a la elite capitalina, sino que se hizo extensiva a diferentes clases y etnias. Las ald</w:t>
      </w:r>
      <w:r w:rsidRPr="001C4D3B">
        <w:rPr>
          <w:lang w:val="es-ES"/>
        </w:rPr>
        <w:t>eas indígenas también seleccionaron sus alcaldes, con la aprobación del corregidor</w:t>
      </w:r>
      <w:r w:rsidRPr="001C4D3B">
        <w:rPr>
          <w:rStyle w:val="FootnoteReference"/>
          <w:lang w:val="es-ES"/>
        </w:rPr>
        <w:footnoteReference w:id="17"/>
      </w:r>
      <w:r>
        <w:rPr>
          <w:lang w:val="es-ES"/>
        </w:rPr>
        <w:t xml:space="preserve">. </w:t>
      </w:r>
      <w:r w:rsidRPr="00BC6C1A">
        <w:rPr>
          <w:lang w:val="es-ES"/>
        </w:rPr>
        <w:t>También los gremios</w:t>
      </w:r>
      <w:r w:rsidRPr="001C4D3B">
        <w:rPr>
          <w:lang w:val="es-ES"/>
        </w:rPr>
        <w:t xml:space="preserve"> de artesanos y comerciantes, y las universidades eligieron su liderazgo con prácticas similares. Además, en </w:t>
      </w:r>
      <w:r w:rsidRPr="001C4D3B">
        <w:rPr>
          <w:lang w:val="es-ES_tradnl"/>
        </w:rPr>
        <w:t xml:space="preserve">el siglo XVIII, una propagación de nuevas instituciones de afiliación profesional – el Consulado de Comerciantes, el Colegio de Abogados, y el Montepío de Añil – </w:t>
      </w:r>
      <w:r w:rsidRPr="00BC6C1A">
        <w:rPr>
          <w:lang w:val="es-ES_tradnl"/>
        </w:rPr>
        <w:t xml:space="preserve">o de afinidad intelectual – la </w:t>
      </w:r>
      <w:r w:rsidRPr="00BC6C1A">
        <w:rPr>
          <w:i/>
          <w:lang w:val="es-ES_tradnl"/>
        </w:rPr>
        <w:t>Sociedad Económica de Amigos del País</w:t>
      </w:r>
      <w:r w:rsidRPr="00BC6C1A">
        <w:rPr>
          <w:lang w:val="es-ES_tradnl"/>
        </w:rPr>
        <w:t xml:space="preserve"> y la </w:t>
      </w:r>
      <w:proofErr w:type="spellStart"/>
      <w:r w:rsidRPr="00BC6C1A">
        <w:rPr>
          <w:i/>
          <w:lang w:val="es-ES_tradnl"/>
        </w:rPr>
        <w:t>Gazeta</w:t>
      </w:r>
      <w:proofErr w:type="spellEnd"/>
      <w:r w:rsidRPr="00BC6C1A">
        <w:rPr>
          <w:i/>
          <w:lang w:val="es-ES_tradnl"/>
        </w:rPr>
        <w:t xml:space="preserve"> de Guatemala</w:t>
      </w:r>
      <w:r w:rsidRPr="00BC6C1A">
        <w:rPr>
          <w:lang w:val="es-ES_tradnl"/>
        </w:rPr>
        <w:t>- contribuyó</w:t>
      </w:r>
      <w:r w:rsidRPr="001C4D3B">
        <w:rPr>
          <w:lang w:val="es-ES_tradnl"/>
        </w:rPr>
        <w:t xml:space="preserve"> a una activa esfera pública y nuevas sociabilidades, además de extender la familiaridad con instituciones con reglamentos y oficiales, elecciones, y a veces concurrencia entre ellos para </w:t>
      </w:r>
      <w:r>
        <w:rPr>
          <w:lang w:val="es-ES_tradnl"/>
        </w:rPr>
        <w:t>llenar puestos</w:t>
      </w:r>
      <w:r w:rsidRPr="001C4D3B">
        <w:rPr>
          <w:rStyle w:val="FootnoteReference"/>
        </w:rPr>
        <w:footnoteReference w:id="18"/>
      </w:r>
      <w:r>
        <w:rPr>
          <w:lang w:val="es-ES_tradnl"/>
        </w:rPr>
        <w:t>.</w:t>
      </w:r>
      <w:r w:rsidRPr="001C4D3B">
        <w:rPr>
          <w:lang w:val="es-ES_tradnl"/>
        </w:rPr>
        <w:t xml:space="preserve"> </w:t>
      </w:r>
    </w:p>
    <w:p w14:paraId="19416024" w14:textId="527DC041" w:rsidR="00936C95" w:rsidRDefault="00936C95" w:rsidP="001118B4">
      <w:pPr>
        <w:spacing w:line="360" w:lineRule="auto"/>
        <w:ind w:firstLine="284"/>
        <w:jc w:val="both"/>
        <w:rPr>
          <w:highlight w:val="yellow"/>
          <w:lang w:val="es-ES_tradnl"/>
        </w:rPr>
      </w:pPr>
      <w:r w:rsidRPr="001C4D3B">
        <w:rPr>
          <w:lang w:val="es-ES"/>
        </w:rPr>
        <w:lastRenderedPageBreak/>
        <w:t xml:space="preserve">Por lo tanto, aunque limitado a ciertos </w:t>
      </w:r>
      <w:r w:rsidRPr="00BC6C1A">
        <w:rPr>
          <w:lang w:val="es-ES"/>
        </w:rPr>
        <w:t xml:space="preserve">puestos y a ciertas instituciones, la práctica de seleccionar a los funcionarios locales transformó a las élites americanas y españolas en las ciudades, y </w:t>
      </w:r>
      <w:r w:rsidR="007A61C4">
        <w:rPr>
          <w:lang w:val="es-ES"/>
        </w:rPr>
        <w:t xml:space="preserve">también </w:t>
      </w:r>
      <w:r w:rsidRPr="00BC6C1A">
        <w:rPr>
          <w:lang w:val="es-ES"/>
        </w:rPr>
        <w:t>a las élites indígenas</w:t>
      </w:r>
      <w:r w:rsidR="007A61C4">
        <w:rPr>
          <w:lang w:val="es-ES"/>
        </w:rPr>
        <w:t xml:space="preserve"> en los pueblos</w:t>
      </w:r>
      <w:r w:rsidRPr="00BC6C1A">
        <w:rPr>
          <w:lang w:val="es-ES"/>
        </w:rPr>
        <w:t xml:space="preserve">, </w:t>
      </w:r>
      <w:r w:rsidR="007A61C4">
        <w:rPr>
          <w:lang w:val="es-ES"/>
        </w:rPr>
        <w:t>cuyos</w:t>
      </w:r>
      <w:r w:rsidR="00DA306E">
        <w:rPr>
          <w:lang w:val="es-ES"/>
        </w:rPr>
        <w:t xml:space="preserve"> </w:t>
      </w:r>
      <w:r w:rsidRPr="00BC6C1A">
        <w:rPr>
          <w:lang w:val="es-ES"/>
        </w:rPr>
        <w:t>consejos</w:t>
      </w:r>
      <w:r>
        <w:rPr>
          <w:lang w:val="es-ES"/>
        </w:rPr>
        <w:t xml:space="preserve"> </w:t>
      </w:r>
      <w:r w:rsidR="008256C8">
        <w:rPr>
          <w:lang w:val="es-ES"/>
        </w:rPr>
        <w:t xml:space="preserve">tenían </w:t>
      </w:r>
      <w:r>
        <w:rPr>
          <w:lang w:val="es-ES"/>
        </w:rPr>
        <w:t xml:space="preserve">una </w:t>
      </w:r>
      <w:r w:rsidRPr="001C4D3B">
        <w:rPr>
          <w:lang w:val="es-ES"/>
        </w:rPr>
        <w:t>reconocida capacidad para negociar</w:t>
      </w:r>
      <w:r>
        <w:rPr>
          <w:lang w:val="es-ES"/>
        </w:rPr>
        <w:t xml:space="preserve"> </w:t>
      </w:r>
      <w:r w:rsidR="007A61C4">
        <w:rPr>
          <w:lang w:val="es-ES"/>
        </w:rPr>
        <w:t xml:space="preserve">las prácticas de la justicia, la administración y </w:t>
      </w:r>
      <w:r>
        <w:rPr>
          <w:lang w:val="es-ES"/>
        </w:rPr>
        <w:t>los derechos de</w:t>
      </w:r>
      <w:r w:rsidRPr="001C4D3B">
        <w:rPr>
          <w:lang w:val="es-ES"/>
        </w:rPr>
        <w:t xml:space="preserve"> la comunidad </w:t>
      </w:r>
      <w:r>
        <w:rPr>
          <w:lang w:val="es-ES"/>
        </w:rPr>
        <w:t>con la metrópoli</w:t>
      </w:r>
      <w:r w:rsidRPr="001C4D3B">
        <w:rPr>
          <w:rStyle w:val="FootnoteReference"/>
        </w:rPr>
        <w:footnoteReference w:id="19"/>
      </w:r>
      <w:r>
        <w:rPr>
          <w:lang w:val="es-ES"/>
        </w:rPr>
        <w:t>.</w:t>
      </w:r>
      <w:r w:rsidRPr="001C4D3B">
        <w:rPr>
          <w:lang w:val="es-ES"/>
        </w:rPr>
        <w:t xml:space="preserve"> </w:t>
      </w:r>
      <w:r w:rsidRPr="00BC6C1A">
        <w:rPr>
          <w:lang w:val="es-ES"/>
        </w:rPr>
        <w:t xml:space="preserve">A fines del siglo XVIII en Guatemala, en la medida en que se consolidó la disminución del interés en la compra de oficios municipales se extendió el llamado a elecciones que dieron voz y voto a un mayor número de vecinos. Aunque esta práctica se limitó a una experiencia concreta, ello conllevó </w:t>
      </w:r>
      <w:r w:rsidR="008256C8">
        <w:rPr>
          <w:lang w:val="es-ES"/>
        </w:rPr>
        <w:t xml:space="preserve">a </w:t>
      </w:r>
      <w:r w:rsidRPr="00BC6C1A">
        <w:rPr>
          <w:lang w:val="es-ES"/>
        </w:rPr>
        <w:t>que cuando la crisis monárquica de 1808 abrió la puerta a nuevas instituciones y procesos políticos, no solo un puñado de la élite sino un porcentaje apreciable de vecinos ya hubieran participado en la selección de miembros del gobierno, de la administración municipal y de sus organizaciones profesionales.</w:t>
      </w:r>
      <w:r w:rsidRPr="00BC6C1A">
        <w:rPr>
          <w:lang w:val="es-ES_tradnl"/>
        </w:rPr>
        <w:t xml:space="preserve"> </w:t>
      </w:r>
    </w:p>
    <w:p w14:paraId="7C11F34E" w14:textId="77777777" w:rsidR="00936C95" w:rsidRPr="001118B4" w:rsidRDefault="00936C95" w:rsidP="001118B4">
      <w:pPr>
        <w:spacing w:line="360" w:lineRule="auto"/>
        <w:ind w:firstLine="284"/>
        <w:jc w:val="both"/>
        <w:rPr>
          <w:lang w:val="es-ES_tradnl"/>
        </w:rPr>
      </w:pPr>
      <w:r w:rsidRPr="00BC6C1A">
        <w:rPr>
          <w:lang w:val="es-ES"/>
        </w:rPr>
        <w:t>Lo anterior se sumó al mecanismo de participación del Antiguo Régimen conocido como cabildo abierto, una práctica que consistió en reunir una comunidad amplia incluyendo a vecinos</w:t>
      </w:r>
      <w:r w:rsidRPr="001C4D3B">
        <w:rPr>
          <w:lang w:val="es-ES"/>
        </w:rPr>
        <w:t xml:space="preserve"> y miembros del consejo municipal, de la Corona y de la Iglesia </w:t>
      </w:r>
      <w:r>
        <w:rPr>
          <w:lang w:val="es-ES"/>
        </w:rPr>
        <w:t>par</w:t>
      </w:r>
      <w:r w:rsidRPr="001C4D3B">
        <w:rPr>
          <w:lang w:val="es-ES"/>
        </w:rPr>
        <w:t xml:space="preserve">a participar en la toma de decisiones en momentos de crisis, por lo general </w:t>
      </w:r>
      <w:r>
        <w:rPr>
          <w:lang w:val="es-ES"/>
        </w:rPr>
        <w:t>mediante</w:t>
      </w:r>
      <w:r w:rsidRPr="001C4D3B">
        <w:rPr>
          <w:lang w:val="es-ES"/>
        </w:rPr>
        <w:t xml:space="preserve"> un acta, o documento, presentado a las autoridades superiores</w:t>
      </w:r>
      <w:r w:rsidRPr="001C4D3B">
        <w:rPr>
          <w:rStyle w:val="FootnoteReference"/>
          <w:lang w:val="es-ES"/>
        </w:rPr>
        <w:footnoteReference w:id="20"/>
      </w:r>
      <w:r>
        <w:rPr>
          <w:lang w:val="es-ES"/>
        </w:rPr>
        <w:t>.</w:t>
      </w:r>
      <w:r w:rsidRPr="001C4D3B">
        <w:rPr>
          <w:lang w:val="es-ES"/>
        </w:rPr>
        <w:t xml:space="preserve"> </w:t>
      </w:r>
      <w:r>
        <w:rPr>
          <w:lang w:val="es-ES"/>
        </w:rPr>
        <w:t>En otras palabras</w:t>
      </w:r>
      <w:r w:rsidRPr="00E05076">
        <w:rPr>
          <w:lang w:val="es-ES"/>
        </w:rPr>
        <w:t>, las élites obtuvieron oportunidades políticas para participar como electores, aunque en circunstancias específicas, y para postularse para puestos imperiales y elegir autoridades locales. Además, un público amplio fue convocado para deliberar en circunstancias extraordinarias. Esta experiencia de localismos, tanto corporativos como individuales, demuestra que el reino de Guatemala no solamente experimentó</w:t>
      </w:r>
      <w:r w:rsidRPr="001C4D3B">
        <w:rPr>
          <w:lang w:val="es-ES"/>
        </w:rPr>
        <w:t xml:space="preserve"> una expansión en gobierno bajo el régimen borbónico, sino experiencias de auto-gobierno, aunque limitado a instituciones profesionales y locales.  </w:t>
      </w:r>
    </w:p>
    <w:p w14:paraId="57AFFA4F" w14:textId="77777777" w:rsidR="00936C95" w:rsidRPr="006028E0" w:rsidRDefault="00936C95" w:rsidP="001C4D3B">
      <w:pPr>
        <w:spacing w:line="360" w:lineRule="auto"/>
        <w:ind w:firstLine="284"/>
        <w:jc w:val="both"/>
        <w:rPr>
          <w:lang w:val="es-ES"/>
        </w:rPr>
      </w:pPr>
    </w:p>
    <w:p w14:paraId="15229606" w14:textId="77777777" w:rsidR="00936C95" w:rsidRDefault="00936C95" w:rsidP="009A5E18">
      <w:pPr>
        <w:spacing w:line="360" w:lineRule="auto"/>
        <w:jc w:val="both"/>
        <w:rPr>
          <w:b/>
          <w:lang w:val="es-ES"/>
        </w:rPr>
      </w:pPr>
      <w:r w:rsidRPr="001C4D3B">
        <w:rPr>
          <w:b/>
          <w:lang w:val="es-ES"/>
        </w:rPr>
        <w:t>Elecciones al llegar la crisis imperial</w:t>
      </w:r>
    </w:p>
    <w:p w14:paraId="6AE2182D" w14:textId="77777777" w:rsidR="00936C95" w:rsidRPr="001C4D3B" w:rsidRDefault="00936C95" w:rsidP="009A5E18">
      <w:pPr>
        <w:spacing w:line="360" w:lineRule="auto"/>
        <w:jc w:val="both"/>
        <w:rPr>
          <w:lang w:val="es-ES"/>
        </w:rPr>
      </w:pPr>
    </w:p>
    <w:p w14:paraId="7EC678CB" w14:textId="77777777" w:rsidR="00936C95" w:rsidRPr="001C4D3B" w:rsidRDefault="00936C95" w:rsidP="001C4D3B">
      <w:pPr>
        <w:spacing w:line="360" w:lineRule="auto"/>
        <w:ind w:firstLine="284"/>
        <w:jc w:val="both"/>
        <w:rPr>
          <w:lang w:val="es-ES"/>
        </w:rPr>
      </w:pPr>
      <w:r w:rsidRPr="00E05076">
        <w:rPr>
          <w:lang w:val="es-ES"/>
        </w:rPr>
        <w:t xml:space="preserve">En las respuestas a la crisis política de 1808, los métodos de representación política locales e imperiales del Antiguo Régimen se revitalizaron. Lejos de producirse una insurrección generalizada en América Central, la crisis monárquica abrió el camino para ampliar la </w:t>
      </w:r>
      <w:r w:rsidRPr="00E05076">
        <w:rPr>
          <w:lang w:val="es-ES"/>
        </w:rPr>
        <w:lastRenderedPageBreak/>
        <w:t>representación municipal a nuevas clases sociales, hecho que condujo a una extensión de la</w:t>
      </w:r>
      <w:r>
        <w:rPr>
          <w:lang w:val="es-ES"/>
        </w:rPr>
        <w:t xml:space="preserve"> </w:t>
      </w:r>
      <w:r w:rsidRPr="001C4D3B">
        <w:rPr>
          <w:lang w:val="es-ES"/>
        </w:rPr>
        <w:t>participación individual y comunitaria, o corporativa, adaptando</w:t>
      </w:r>
      <w:r>
        <w:rPr>
          <w:lang w:val="es-ES"/>
        </w:rPr>
        <w:t xml:space="preserve"> y mezclando las prácticas del Antiguo R</w:t>
      </w:r>
      <w:r w:rsidRPr="001C4D3B">
        <w:rPr>
          <w:lang w:val="es-ES"/>
        </w:rPr>
        <w:t>égimen con innovaciones legislativas y constitucionales de la época.</w:t>
      </w:r>
    </w:p>
    <w:p w14:paraId="1F150D18" w14:textId="7D9C45D2" w:rsidR="00936C95" w:rsidRPr="00E05076" w:rsidRDefault="00936C95" w:rsidP="001C4D3B">
      <w:pPr>
        <w:spacing w:line="360" w:lineRule="auto"/>
        <w:ind w:firstLine="284"/>
        <w:jc w:val="both"/>
        <w:rPr>
          <w:lang w:val="es-ES"/>
        </w:rPr>
      </w:pPr>
      <w:r w:rsidRPr="001C4D3B">
        <w:rPr>
          <w:lang w:val="es-ES"/>
        </w:rPr>
        <w:t>El vacío de poder y la</w:t>
      </w:r>
      <w:r>
        <w:rPr>
          <w:lang w:val="es-ES"/>
        </w:rPr>
        <w:t xml:space="preserve"> incertidumbre provocada</w:t>
      </w:r>
      <w:r w:rsidRPr="001C4D3B">
        <w:rPr>
          <w:lang w:val="es-ES"/>
        </w:rPr>
        <w:t xml:space="preserve"> por la abdicación de</w:t>
      </w:r>
      <w:r>
        <w:rPr>
          <w:lang w:val="es-ES"/>
        </w:rPr>
        <w:t xml:space="preserve"> </w:t>
      </w:r>
      <w:r w:rsidRPr="001C4D3B">
        <w:rPr>
          <w:lang w:val="es-ES"/>
        </w:rPr>
        <w:t>Fernando V</w:t>
      </w:r>
      <w:r>
        <w:rPr>
          <w:lang w:val="es-ES"/>
        </w:rPr>
        <w:t>II así como</w:t>
      </w:r>
      <w:r w:rsidRPr="001C4D3B">
        <w:rPr>
          <w:lang w:val="es-ES"/>
        </w:rPr>
        <w:t xml:space="preserve"> </w:t>
      </w:r>
      <w:r>
        <w:rPr>
          <w:lang w:val="es-ES"/>
        </w:rPr>
        <w:t>el rechazo al intruso monarca</w:t>
      </w:r>
      <w:r w:rsidRPr="001C4D3B">
        <w:rPr>
          <w:lang w:val="es-ES"/>
        </w:rPr>
        <w:t xml:space="preserve"> francés</w:t>
      </w:r>
      <w:r>
        <w:rPr>
          <w:lang w:val="es-ES"/>
        </w:rPr>
        <w:t xml:space="preserve"> José</w:t>
      </w:r>
      <w:r w:rsidRPr="001C4D3B">
        <w:rPr>
          <w:lang w:val="es-ES"/>
        </w:rPr>
        <w:t xml:space="preserve"> Bonaparte por el pueblo español, animaron a </w:t>
      </w:r>
      <w:r>
        <w:rPr>
          <w:lang w:val="es-ES"/>
        </w:rPr>
        <w:t xml:space="preserve">las </w:t>
      </w:r>
      <w:r w:rsidRPr="001C4D3B">
        <w:rPr>
          <w:lang w:val="es-ES"/>
        </w:rPr>
        <w:t xml:space="preserve">élites </w:t>
      </w:r>
      <w:r w:rsidRPr="00E05076">
        <w:rPr>
          <w:lang w:val="es-ES"/>
        </w:rPr>
        <w:t>en todo el imperio a aumentar su peso político mientras que los funcionarios reales dudaban de su propia autoridad y legitimidad. Aprovechándose de prácticas ‘de tiempo inmemorial’, las élites ofrecieron su lealtad a cambio de una mayor influencia en un momento en que la idea de</w:t>
      </w:r>
      <w:r w:rsidRPr="001C4D3B">
        <w:rPr>
          <w:lang w:val="es-ES"/>
        </w:rPr>
        <w:t xml:space="preserve"> </w:t>
      </w:r>
      <w:r w:rsidRPr="00E05076">
        <w:rPr>
          <w:lang w:val="es-ES"/>
        </w:rPr>
        <w:t>representación territorial cobraba fuerza a nivel local e imperial.  En Centroamérica, estas convocaron a cabildos abiertos, a veces denominados "</w:t>
      </w:r>
      <w:proofErr w:type="spellStart"/>
      <w:r w:rsidRPr="00E05076">
        <w:rPr>
          <w:lang w:val="es-ES"/>
        </w:rPr>
        <w:t>junti</w:t>
      </w:r>
      <w:proofErr w:type="spellEnd"/>
      <w:r w:rsidRPr="00E05076">
        <w:rPr>
          <w:lang w:val="es-ES"/>
        </w:rPr>
        <w:t xml:space="preserve">-ayuntamientos” por sus aspiraciones </w:t>
      </w:r>
      <w:r w:rsidR="00EE443F">
        <w:rPr>
          <w:lang w:val="es-ES"/>
        </w:rPr>
        <w:t>de querer gobernar</w:t>
      </w:r>
      <w:r w:rsidRPr="00E05076">
        <w:rPr>
          <w:lang w:val="es-ES"/>
        </w:rPr>
        <w:t xml:space="preserve">, para justificar la sustitución de funcionarios reales por naturales del lugar seleccionados por la comunidad, es decir, sujetos representativos. Ayuntamientos en las provincias de Nicaragua, Honduras y El Salvador además ampliaron la membresía, añadiendo </w:t>
      </w:r>
      <w:r w:rsidRPr="00E05076">
        <w:rPr>
          <w:i/>
          <w:lang w:val="es-ES"/>
        </w:rPr>
        <w:t>regimientos</w:t>
      </w:r>
      <w:r w:rsidRPr="00E05076">
        <w:rPr>
          <w:lang w:val="es-ES"/>
        </w:rPr>
        <w:t xml:space="preserve"> exclusivamente para representantes de los "barrios", es decir, sectores ajenos a las élites que aunque participaban en las deliberaciones carecían de voz y voto permanente</w:t>
      </w:r>
      <w:r w:rsidRPr="00E05076">
        <w:rPr>
          <w:rStyle w:val="FootnoteReference"/>
        </w:rPr>
        <w:footnoteReference w:id="21"/>
      </w:r>
      <w:r w:rsidRPr="00E05076">
        <w:rPr>
          <w:lang w:val="es-ES"/>
        </w:rPr>
        <w:t>.</w:t>
      </w:r>
      <w:r w:rsidRPr="00E05076">
        <w:rPr>
          <w:lang w:val="es-ES_tradnl"/>
        </w:rPr>
        <w:t xml:space="preserve"> </w:t>
      </w:r>
      <w:r w:rsidRPr="00E05076">
        <w:rPr>
          <w:lang w:val="es-ES"/>
        </w:rPr>
        <w:t xml:space="preserve"> </w:t>
      </w:r>
    </w:p>
    <w:p w14:paraId="05A40340" w14:textId="71D915DE" w:rsidR="00936C95" w:rsidRPr="001C4D3B" w:rsidRDefault="00936C95" w:rsidP="001C4D3B">
      <w:pPr>
        <w:spacing w:line="360" w:lineRule="auto"/>
        <w:ind w:firstLine="284"/>
        <w:jc w:val="both"/>
        <w:rPr>
          <w:lang w:val="es-ES_tradnl"/>
        </w:rPr>
      </w:pPr>
      <w:r w:rsidRPr="00E05076">
        <w:rPr>
          <w:lang w:val="es-ES"/>
        </w:rPr>
        <w:t>Cuando a nivel imperial, entre 1809 y 1810, las autoridades españolas reconocieron la</w:t>
      </w:r>
      <w:r w:rsidRPr="001C4D3B">
        <w:rPr>
          <w:lang w:val="es-ES"/>
        </w:rPr>
        <w:t xml:space="preserve"> necesidad de incluir a </w:t>
      </w:r>
      <w:r>
        <w:rPr>
          <w:lang w:val="es-ES"/>
        </w:rPr>
        <w:t xml:space="preserve">los </w:t>
      </w:r>
      <w:r w:rsidRPr="001C4D3B">
        <w:rPr>
          <w:lang w:val="es-ES"/>
        </w:rPr>
        <w:t xml:space="preserve">territorios ultramarinos en </w:t>
      </w:r>
      <w:r>
        <w:rPr>
          <w:lang w:val="es-ES"/>
        </w:rPr>
        <w:t xml:space="preserve">los </w:t>
      </w:r>
      <w:r w:rsidRPr="001C4D3B">
        <w:rPr>
          <w:lang w:val="es-ES"/>
        </w:rPr>
        <w:t xml:space="preserve">cuerpos </w:t>
      </w:r>
      <w:r w:rsidR="007A61C4">
        <w:rPr>
          <w:lang w:val="es-ES"/>
        </w:rPr>
        <w:t xml:space="preserve">gubernamentales </w:t>
      </w:r>
      <w:r w:rsidRPr="001C4D3B">
        <w:rPr>
          <w:lang w:val="es-ES"/>
        </w:rPr>
        <w:t>imperiales, Centroamérica participó en las oportunidades con entusiasmo, eligiendo primero a un vocal a la Junta Suprema Centr</w:t>
      </w:r>
      <w:r>
        <w:rPr>
          <w:lang w:val="es-ES"/>
        </w:rPr>
        <w:t xml:space="preserve">al </w:t>
      </w:r>
      <w:r w:rsidRPr="001C4D3B">
        <w:rPr>
          <w:lang w:val="es-ES"/>
        </w:rPr>
        <w:t xml:space="preserve">y luego a seis diputados a </w:t>
      </w:r>
      <w:r>
        <w:rPr>
          <w:lang w:val="es-ES"/>
        </w:rPr>
        <w:t xml:space="preserve">las </w:t>
      </w:r>
      <w:r w:rsidRPr="001C4D3B">
        <w:rPr>
          <w:lang w:val="es-ES"/>
        </w:rPr>
        <w:t xml:space="preserve">Cortes </w:t>
      </w:r>
      <w:r>
        <w:rPr>
          <w:lang w:val="es-ES"/>
        </w:rPr>
        <w:t xml:space="preserve">de Cádiz en 1810 y 1812. </w:t>
      </w:r>
      <w:r w:rsidRPr="001C4D3B">
        <w:rPr>
          <w:lang w:val="es-ES"/>
        </w:rPr>
        <w:t>El proceso ‘</w:t>
      </w:r>
      <w:proofErr w:type="spellStart"/>
      <w:r w:rsidRPr="00B148E3">
        <w:rPr>
          <w:lang w:val="es-ES"/>
        </w:rPr>
        <w:t>selectoral</w:t>
      </w:r>
      <w:proofErr w:type="spellEnd"/>
      <w:r w:rsidRPr="00B148E3">
        <w:rPr>
          <w:lang w:val="es-ES"/>
        </w:rPr>
        <w:t>’</w:t>
      </w:r>
      <w:r>
        <w:rPr>
          <w:lang w:val="es-ES"/>
        </w:rPr>
        <w:t xml:space="preserve"> </w:t>
      </w:r>
      <w:r w:rsidRPr="001C4D3B">
        <w:rPr>
          <w:lang w:val="es-ES"/>
        </w:rPr>
        <w:t xml:space="preserve">en ambos casos </w:t>
      </w:r>
      <w:r w:rsidRPr="00E05076">
        <w:rPr>
          <w:lang w:val="es-ES"/>
        </w:rPr>
        <w:t>merece una reflexión. La convocatoria a elecciones de "</w:t>
      </w:r>
      <w:r w:rsidRPr="00E05076">
        <w:rPr>
          <w:bCs/>
          <w:lang w:val="es-ES"/>
        </w:rPr>
        <w:t xml:space="preserve">un individuo cada cual que represente su </w:t>
      </w:r>
      <w:r w:rsidRPr="004716C5">
        <w:rPr>
          <w:bCs/>
          <w:lang w:val="es-ES"/>
        </w:rPr>
        <w:t>respectivo</w:t>
      </w:r>
      <w:r w:rsidRPr="00E05076">
        <w:rPr>
          <w:bCs/>
          <w:lang w:val="es-ES"/>
        </w:rPr>
        <w:t xml:space="preserve"> distrito</w:t>
      </w:r>
      <w:r w:rsidRPr="00E05076">
        <w:rPr>
          <w:lang w:val="es-ES"/>
        </w:rPr>
        <w:t>" para integrar la Junta Central en 1809</w:t>
      </w:r>
      <w:r w:rsidRPr="00E05076">
        <w:rPr>
          <w:rStyle w:val="FootnoteReference"/>
          <w:lang w:val="es-ES"/>
        </w:rPr>
        <w:footnoteReference w:id="22"/>
      </w:r>
      <w:r w:rsidRPr="00E05076">
        <w:rPr>
          <w:lang w:val="es-ES"/>
        </w:rPr>
        <w:t xml:space="preserve"> y las Cortes constitucionales en 1810, invitó a los ayuntamientos de españoles, sindicados como ‘capitales’ (15 de ‘distrito’ en 1809, y 6 de ‘provincia’ en 1810) a ‘nombrar’</w:t>
      </w:r>
      <w:r w:rsidRPr="00E05076">
        <w:rPr>
          <w:b/>
          <w:lang w:val="es-ES"/>
        </w:rPr>
        <w:t xml:space="preserve"> </w:t>
      </w:r>
      <w:r w:rsidRPr="00E05076">
        <w:rPr>
          <w:lang w:val="es-ES"/>
        </w:rPr>
        <w:t>a tres individuos</w:t>
      </w:r>
      <w:r w:rsidRPr="001C4D3B">
        <w:rPr>
          <w:b/>
          <w:lang w:val="es-ES"/>
        </w:rPr>
        <w:t xml:space="preserve"> “</w:t>
      </w:r>
      <w:r w:rsidRPr="001C4D3B">
        <w:rPr>
          <w:bCs/>
          <w:lang w:val="es-ES"/>
        </w:rPr>
        <w:t>de notoria probidad (sic), talento y instrucción</w:t>
      </w:r>
      <w:r w:rsidRPr="001C4D3B">
        <w:rPr>
          <w:lang w:val="es-ES"/>
        </w:rPr>
        <w:t>" sin “espíritu de partido;’</w:t>
      </w:r>
      <w:r w:rsidR="008256C8">
        <w:rPr>
          <w:lang w:val="es-ES"/>
        </w:rPr>
        <w:t>”</w:t>
      </w:r>
      <w:r w:rsidRPr="001C4D3B">
        <w:rPr>
          <w:lang w:val="es-ES"/>
        </w:rPr>
        <w:t xml:space="preserve"> sortear uno de los tres “con la solemnidad de estilo</w:t>
      </w:r>
      <w:r>
        <w:rPr>
          <w:lang w:val="es-ES"/>
        </w:rPr>
        <w:t>”,</w:t>
      </w:r>
      <w:r w:rsidRPr="001C4D3B">
        <w:rPr>
          <w:lang w:val="es-ES"/>
        </w:rPr>
        <w:t xml:space="preserve"> teniendo el primero “por elegido</w:t>
      </w:r>
      <w:r>
        <w:rPr>
          <w:lang w:val="es-ES"/>
        </w:rPr>
        <w:t>”,</w:t>
      </w:r>
      <w:r w:rsidRPr="001C4D3B">
        <w:rPr>
          <w:lang w:val="es-ES"/>
        </w:rPr>
        <w:t xml:space="preserve"> y enviar ‘el testimonio del </w:t>
      </w:r>
      <w:proofErr w:type="spellStart"/>
      <w:r w:rsidRPr="001C4D3B">
        <w:rPr>
          <w:lang w:val="es-ES"/>
        </w:rPr>
        <w:t>sugeto</w:t>
      </w:r>
      <w:proofErr w:type="spellEnd"/>
      <w:r w:rsidRPr="001C4D3B">
        <w:rPr>
          <w:lang w:val="es-ES"/>
        </w:rPr>
        <w:t xml:space="preserve"> (sic) </w:t>
      </w:r>
      <w:r w:rsidRPr="00E05076">
        <w:rPr>
          <w:lang w:val="es-ES"/>
        </w:rPr>
        <w:t xml:space="preserve">que haya salido en suerte’ a la capital. Para seleccionar al vocal de la Junta Central, en 1809 una junta electoral compuesta por dos miembros del Real Acuerdo, del Cabildo eclesiástico y del Cabildo municipal reunidos en la Ciudad de Guatemala, votaron con papeletas impresas para seleccionar </w:t>
      </w:r>
      <w:r w:rsidRPr="00E05076">
        <w:rPr>
          <w:lang w:val="es-ES"/>
        </w:rPr>
        <w:lastRenderedPageBreak/>
        <w:t>de una terna de candidatos al ganador</w:t>
      </w:r>
      <w:r w:rsidRPr="00E05076">
        <w:rPr>
          <w:rStyle w:val="FootnoteReference"/>
          <w:lang w:val="es-ES"/>
        </w:rPr>
        <w:footnoteReference w:id="23"/>
      </w:r>
      <w:r w:rsidRPr="00E05076">
        <w:rPr>
          <w:lang w:val="es-ES"/>
        </w:rPr>
        <w:t xml:space="preserve">. En 1810, las capitales de provincia seleccionaron los seis diputados a las Cortes constitucionales bajo la misma metodología. Las actas impresas en la </w:t>
      </w:r>
      <w:proofErr w:type="spellStart"/>
      <w:r w:rsidRPr="00E05076">
        <w:rPr>
          <w:i/>
          <w:iCs/>
          <w:lang w:val="es-ES"/>
        </w:rPr>
        <w:t>Gazeta</w:t>
      </w:r>
      <w:proofErr w:type="spellEnd"/>
      <w:r w:rsidRPr="00E05076">
        <w:rPr>
          <w:iCs/>
          <w:lang w:val="es-ES"/>
        </w:rPr>
        <w:t xml:space="preserve"> indican que las</w:t>
      </w:r>
      <w:r w:rsidRPr="00E05076">
        <w:rPr>
          <w:lang w:val="es-ES"/>
        </w:rPr>
        <w:t xml:space="preserve"> elecciones se celebraron sin disturbios, y el reino aprendió la práctica del voto y acató los resultados como una comunidad</w:t>
      </w:r>
      <w:r w:rsidRPr="00E05076">
        <w:rPr>
          <w:rStyle w:val="FootnoteReference"/>
        </w:rPr>
        <w:footnoteReference w:id="24"/>
      </w:r>
      <w:r w:rsidRPr="00E05076">
        <w:rPr>
          <w:lang w:val="es-ES"/>
        </w:rPr>
        <w:t>.</w:t>
      </w:r>
    </w:p>
    <w:p w14:paraId="001D6434" w14:textId="00979E70" w:rsidR="00936C95" w:rsidRPr="001C4D3B" w:rsidRDefault="00936C95" w:rsidP="001C4D3B">
      <w:pPr>
        <w:spacing w:line="360" w:lineRule="auto"/>
        <w:ind w:firstLine="284"/>
        <w:jc w:val="both"/>
        <w:rPr>
          <w:lang w:val="es-ES"/>
        </w:rPr>
      </w:pPr>
      <w:r w:rsidRPr="00E05076">
        <w:rPr>
          <w:lang w:val="es-ES"/>
        </w:rPr>
        <w:t>Las instrucciones electorales que iniciaron la transformación de Centroamérica en un espacio con derechos de representación en el imperio español fueron importantes. Primero, en la práctica del Antiguo Régimen, la "elección" combinó la voluntad humana (el nombramiento) con la voluntad divina y azarosa (la suerte). Igualmente podría considerarse como una combinación de ideas de representación y autoridad individual y comunitaria tanto tradicionales como ilustradas</w:t>
      </w:r>
      <w:r w:rsidRPr="00E05076">
        <w:rPr>
          <w:rStyle w:val="FootnoteReference"/>
        </w:rPr>
        <w:footnoteReference w:id="25"/>
      </w:r>
      <w:r w:rsidRPr="00E05076">
        <w:rPr>
          <w:lang w:val="es-ES"/>
        </w:rPr>
        <w:t>. El sorteo a través del cual un niño extraía una papeleta con el nombre del beneficiario, se consideraba como “un voto secreto en forma ordinaria” según el libro de actas de Ciudad de Guatemala</w:t>
      </w:r>
      <w:r w:rsidRPr="00E05076">
        <w:rPr>
          <w:rStyle w:val="FootnoteReference"/>
        </w:rPr>
        <w:footnoteReference w:id="26"/>
      </w:r>
      <w:r w:rsidRPr="00E05076">
        <w:rPr>
          <w:lang w:val="es-ES"/>
        </w:rPr>
        <w:t>. En segundo lugar, los decretos que establecían el procedimiento</w:t>
      </w:r>
      <w:r w:rsidRPr="001C4D3B">
        <w:rPr>
          <w:lang w:val="es-ES"/>
        </w:rPr>
        <w:t xml:space="preserve"> electoral se referían a las "elecciones", pero calificaron la votación de los ayuntamientos para candidatos como "nombramiento" y la lotería como "sorteo", lo que demuestra que en esta época se consideraba la selección como etapa elemental para las elecciones</w:t>
      </w:r>
      <w:r w:rsidRPr="001C4D3B">
        <w:rPr>
          <w:rStyle w:val="FootnoteReference"/>
        </w:rPr>
        <w:footnoteReference w:id="27"/>
      </w:r>
      <w:r>
        <w:rPr>
          <w:lang w:val="es-ES"/>
        </w:rPr>
        <w:t>.</w:t>
      </w:r>
      <w:r w:rsidRPr="001C4D3B">
        <w:rPr>
          <w:lang w:val="es-ES_tradnl"/>
        </w:rPr>
        <w:t xml:space="preserve"> </w:t>
      </w:r>
      <w:r w:rsidRPr="001C4D3B">
        <w:rPr>
          <w:lang w:val="es-ES"/>
        </w:rPr>
        <w:t>Tercero, las instrucciones de 1810 para los diputados a Cortes también especi</w:t>
      </w:r>
      <w:r>
        <w:rPr>
          <w:lang w:val="es-ES"/>
        </w:rPr>
        <w:t>ficaban que las elecciones deb</w:t>
      </w:r>
      <w:r w:rsidRPr="001C4D3B">
        <w:rPr>
          <w:lang w:val="es-ES"/>
        </w:rPr>
        <w:t xml:space="preserve">ían anunciarse </w:t>
      </w:r>
      <w:r w:rsidRPr="00E05076">
        <w:rPr>
          <w:lang w:val="es-ES"/>
        </w:rPr>
        <w:t>con anticipación y hacerse a "puertas abiertas", invitando al pueblo a observar más no a participar</w:t>
      </w:r>
      <w:r w:rsidRPr="00E05076">
        <w:rPr>
          <w:rStyle w:val="FootnoteReference"/>
        </w:rPr>
        <w:footnoteReference w:id="28"/>
      </w:r>
      <w:r w:rsidRPr="00E05076">
        <w:rPr>
          <w:lang w:val="es-ES"/>
        </w:rPr>
        <w:t>.</w:t>
      </w:r>
      <w:r w:rsidRPr="00E05076">
        <w:rPr>
          <w:lang w:val="es-ES_tradnl"/>
        </w:rPr>
        <w:t xml:space="preserve"> </w:t>
      </w:r>
      <w:r w:rsidRPr="00E05076">
        <w:rPr>
          <w:lang w:val="es-ES"/>
        </w:rPr>
        <w:t>Este proceso demuestra la plasmación de la ciudadanía colectiva que Avendaño identificó, pasándose de las prácticas tradicionales a las del siglo XIX a través de individuos que votaban y comunidades que se expresaban a través del voto colectivo.</w:t>
      </w:r>
      <w:r w:rsidRPr="001C4D3B">
        <w:rPr>
          <w:lang w:val="es-ES"/>
        </w:rPr>
        <w:t xml:space="preserve"> </w:t>
      </w:r>
    </w:p>
    <w:p w14:paraId="0299C9FA" w14:textId="77777777" w:rsidR="00936C95" w:rsidRPr="001C4D3B" w:rsidRDefault="00936C95" w:rsidP="001C4D3B">
      <w:pPr>
        <w:spacing w:line="360" w:lineRule="auto"/>
        <w:ind w:firstLine="284"/>
        <w:jc w:val="both"/>
        <w:rPr>
          <w:lang w:val="es-ES"/>
        </w:rPr>
      </w:pPr>
      <w:r w:rsidRPr="00E05076">
        <w:rPr>
          <w:lang w:val="es-ES"/>
        </w:rPr>
        <w:t xml:space="preserve">Una inédita práctica electoral comunicada por la </w:t>
      </w:r>
      <w:proofErr w:type="spellStart"/>
      <w:r w:rsidRPr="00E05076">
        <w:rPr>
          <w:i/>
          <w:lang w:val="es-ES"/>
        </w:rPr>
        <w:t>Gazeta</w:t>
      </w:r>
      <w:proofErr w:type="spellEnd"/>
      <w:r w:rsidRPr="00E05076">
        <w:rPr>
          <w:i/>
          <w:lang w:val="es-ES"/>
        </w:rPr>
        <w:t xml:space="preserve"> de Guatemala </w:t>
      </w:r>
      <w:r w:rsidRPr="00E05076">
        <w:rPr>
          <w:lang w:val="es-ES"/>
        </w:rPr>
        <w:t xml:space="preserve">a los administradores y suscriptores, entre Chiapas y Costa Rica, anunció el fomento de nuevas identidades políticas. A </w:t>
      </w:r>
      <w:r w:rsidRPr="00E05076">
        <w:rPr>
          <w:lang w:val="es-ES"/>
        </w:rPr>
        <w:lastRenderedPageBreak/>
        <w:t>nivel regional, se dio peso al reino como territorio político y ya no solamente administrativo.</w:t>
      </w:r>
      <w:r w:rsidRPr="00E05076">
        <w:rPr>
          <w:rStyle w:val="FootnoteReference"/>
          <w:lang w:val="es-ES"/>
        </w:rPr>
        <w:footnoteReference w:id="29"/>
      </w:r>
      <w:r w:rsidRPr="00E05076">
        <w:rPr>
          <w:lang w:val="es-ES"/>
        </w:rPr>
        <w:t xml:space="preserve"> A</w:t>
      </w:r>
      <w:r w:rsidRPr="001C4D3B">
        <w:rPr>
          <w:lang w:val="es-ES"/>
        </w:rPr>
        <w:t xml:space="preserve"> nivel local, el sistema imperial elevó a los quince ayuntamientos centroamericanos “capitales de distrito” a una posición de representantes reconocidos de su comunidad, en cierto sentido </w:t>
      </w:r>
      <w:r w:rsidRPr="00E05076">
        <w:rPr>
          <w:lang w:val="es-ES"/>
        </w:rPr>
        <w:t>equivalente en estatus a los reinos y distritos peninsulares</w:t>
      </w:r>
      <w:r w:rsidRPr="00E05076">
        <w:rPr>
          <w:rStyle w:val="FootnoteReference"/>
        </w:rPr>
        <w:footnoteReference w:id="30"/>
      </w:r>
      <w:r w:rsidRPr="00E05076">
        <w:rPr>
          <w:lang w:val="es-ES"/>
        </w:rPr>
        <w:t>.  Tratar a las municipalidades como entidades representativas dentro del sistema imperial las revitalizó, sobre todo, a través de la participación de las mismas en la celebración de las elecciones y en la preparación de instrucciones sobre asuntos "generales o particulares" para la Junta Central y, más tarde, para los</w:t>
      </w:r>
      <w:r w:rsidRPr="001C4D3B">
        <w:rPr>
          <w:lang w:val="es-ES"/>
        </w:rPr>
        <w:t xml:space="preserve"> delegados a Cortes</w:t>
      </w:r>
      <w:r w:rsidRPr="00E05076">
        <w:rPr>
          <w:rStyle w:val="FootnoteReference"/>
        </w:rPr>
        <w:footnoteReference w:id="31"/>
      </w:r>
      <w:r w:rsidRPr="00E05076">
        <w:rPr>
          <w:lang w:val="es-ES"/>
        </w:rPr>
        <w:t>.</w:t>
      </w:r>
      <w:r w:rsidRPr="00E05076">
        <w:rPr>
          <w:lang w:val="es-ES_tradnl"/>
        </w:rPr>
        <w:t xml:space="preserve"> </w:t>
      </w:r>
      <w:r w:rsidRPr="00E05076">
        <w:rPr>
          <w:lang w:val="es-ES"/>
        </w:rPr>
        <w:t>Las élites respondieron con una inusitada muestra de interés por acceder a los cargos municipales. Consejos inactivos se reanimaron, e irónicamente los regimientos vacantes por treinta años en Ciudad de Guatemala se vendieron, para poder participar en la auspiciosa instancia regional</w:t>
      </w:r>
      <w:r w:rsidRPr="00E05076">
        <w:rPr>
          <w:rStyle w:val="FootnoteReference"/>
        </w:rPr>
        <w:footnoteReference w:id="32"/>
      </w:r>
      <w:r w:rsidRPr="00E05076">
        <w:rPr>
          <w:lang w:val="es-ES"/>
        </w:rPr>
        <w:t>.</w:t>
      </w:r>
    </w:p>
    <w:p w14:paraId="60E6404E" w14:textId="77777777" w:rsidR="00936C95" w:rsidRPr="001C4D3B" w:rsidRDefault="00936C95" w:rsidP="001C4D3B">
      <w:pPr>
        <w:spacing w:line="360" w:lineRule="auto"/>
        <w:ind w:firstLine="284"/>
        <w:jc w:val="both"/>
        <w:rPr>
          <w:lang w:val="es-ES"/>
        </w:rPr>
      </w:pPr>
      <w:r w:rsidRPr="00E05076">
        <w:rPr>
          <w:lang w:val="es-ES"/>
        </w:rPr>
        <w:t xml:space="preserve">El largo proceso electoral para nombrar al representante centroamericano a la Junta Central se extendió por cerca de un año y exigió la cooperación de quince distritos para seleccionar a seis diputados de las Cortes. Ello proporcionó un cierto sentido de unidad al sistema político centroamericano, a pesar de que las elecciones tuvieron lugar "en </w:t>
      </w:r>
      <w:r w:rsidRPr="00E05076">
        <w:rPr>
          <w:bCs/>
          <w:lang w:val="es-ES"/>
        </w:rPr>
        <w:t xml:space="preserve">fechas muy distintas, según las distancias, y </w:t>
      </w:r>
      <w:proofErr w:type="spellStart"/>
      <w:r w:rsidRPr="00E05076">
        <w:rPr>
          <w:bCs/>
          <w:lang w:val="es-ES"/>
        </w:rPr>
        <w:t>occurencias</w:t>
      </w:r>
      <w:proofErr w:type="spellEnd"/>
      <w:r w:rsidRPr="00E05076">
        <w:rPr>
          <w:bCs/>
          <w:lang w:val="es-ES"/>
        </w:rPr>
        <w:t xml:space="preserve"> (sic) que en algunas partes se ofrecieron</w:t>
      </w:r>
      <w:r w:rsidRPr="00E05076">
        <w:rPr>
          <w:lang w:val="es-ES"/>
        </w:rPr>
        <w:t>"</w:t>
      </w:r>
      <w:r w:rsidRPr="00E05076">
        <w:rPr>
          <w:rStyle w:val="FootnoteReference"/>
        </w:rPr>
        <w:footnoteReference w:id="33"/>
      </w:r>
      <w:r w:rsidRPr="00E05076">
        <w:rPr>
          <w:lang w:val="es-ES"/>
        </w:rPr>
        <w:t>.</w:t>
      </w:r>
      <w:r w:rsidRPr="00E05076">
        <w:rPr>
          <w:lang w:val="es-ES_tradnl"/>
        </w:rPr>
        <w:t xml:space="preserve"> </w:t>
      </w:r>
      <w:r w:rsidRPr="00E05076">
        <w:rPr>
          <w:lang w:val="es-ES"/>
        </w:rPr>
        <w:t>Pero, de manera previsible, las instrucciones preparadas por los ayuntamientos para los diputados lejos de aspirar a una integración mayor tuvieron un carácter excesivamente localista, al recomendar en gran medida la construcción de colegios o universidades, el establecimiento de obispados o el aumento del comercio a un puerto local. Por eso, aunque los primeros diputados originarios de la Capitanía General de Guatemala, especialmente Antonio Larrazábal (Guatemala), Florencio Castillo (Costa Rica) y Antonio López de la Plata (Nicaragua), se unieron con otros americanos en las Cortes para hacer causa común en temas como la libertad de comercio y el sufragio para los americanos de origen africano, no les interesó que la Capitanía General adquiriese una identidad regional</w:t>
      </w:r>
      <w:r w:rsidRPr="00E05076">
        <w:rPr>
          <w:rStyle w:val="FootnoteReference"/>
          <w:lang w:val="es-ES"/>
        </w:rPr>
        <w:footnoteReference w:id="34"/>
      </w:r>
      <w:r w:rsidRPr="00E05076">
        <w:rPr>
          <w:lang w:val="es-ES"/>
        </w:rPr>
        <w:t>.</w:t>
      </w:r>
    </w:p>
    <w:p w14:paraId="7C3DD94C" w14:textId="6C259427" w:rsidR="00936C95" w:rsidRPr="001C4D3B" w:rsidRDefault="00936C95" w:rsidP="001C4D3B">
      <w:pPr>
        <w:spacing w:line="360" w:lineRule="auto"/>
        <w:ind w:firstLine="284"/>
        <w:jc w:val="both"/>
        <w:rPr>
          <w:lang w:val="es-ES"/>
        </w:rPr>
      </w:pPr>
      <w:r w:rsidRPr="00E05076">
        <w:rPr>
          <w:lang w:val="es-ES"/>
        </w:rPr>
        <w:t xml:space="preserve">Los académicos coinciden en que el "experimento de Cádiz" introdujo nuevas instituciones representativas en una sociedad que, por lo general, pareció acogerlas. A su vez, confirman la </w:t>
      </w:r>
      <w:r w:rsidRPr="00E05076">
        <w:rPr>
          <w:lang w:val="es-ES"/>
        </w:rPr>
        <w:lastRenderedPageBreak/>
        <w:t>importancia que adquirió una política comunitaria junto con la introducción de la ciudadanía y la representación individual</w:t>
      </w:r>
      <w:r w:rsidRPr="00E05076">
        <w:rPr>
          <w:rStyle w:val="FootnoteReference"/>
        </w:rPr>
        <w:footnoteReference w:id="35"/>
      </w:r>
      <w:r w:rsidRPr="00E05076">
        <w:rPr>
          <w:lang w:val="es-ES"/>
        </w:rPr>
        <w:t>. Cuando Centroamérica implementó la constitución de 1812 –tanto en 1813-1814 como en 1820-1821- a través del sistema de elecciones indirectas</w:t>
      </w:r>
      <w:r w:rsidR="00E06741">
        <w:rPr>
          <w:lang w:val="es-ES"/>
        </w:rPr>
        <w:t>,</w:t>
      </w:r>
      <w:r w:rsidRPr="00E05076">
        <w:rPr>
          <w:lang w:val="es-ES"/>
        </w:rPr>
        <w:t xml:space="preserve"> los residentes aprendieron a votar localmente por los concejales municipales, por los electores que elegirían, o "</w:t>
      </w:r>
      <w:r w:rsidRPr="00E05076">
        <w:rPr>
          <w:bCs/>
          <w:lang w:val="es-ES"/>
        </w:rPr>
        <w:t>nombrarían</w:t>
      </w:r>
      <w:r w:rsidRPr="00E05076">
        <w:rPr>
          <w:lang w:val="es-ES"/>
        </w:rPr>
        <w:t>", a los diputados imperiales a Cortes y por, último, por los electores regionales a las dos nuevas diputaciones provinciales radicadas en Guatemala y Nicaragua</w:t>
      </w:r>
      <w:r>
        <w:rPr>
          <w:lang w:val="es-ES"/>
        </w:rPr>
        <w:t>.</w:t>
      </w:r>
    </w:p>
    <w:p w14:paraId="6BC624E1" w14:textId="4AEC341C" w:rsidR="00936C95" w:rsidRPr="00B148E3" w:rsidRDefault="00936C95" w:rsidP="001C4D3B">
      <w:pPr>
        <w:spacing w:line="360" w:lineRule="auto"/>
        <w:ind w:firstLine="284"/>
        <w:jc w:val="both"/>
        <w:rPr>
          <w:lang w:val="es-ES"/>
        </w:rPr>
      </w:pPr>
      <w:r w:rsidRPr="00B148E3">
        <w:rPr>
          <w:lang w:val="es-ES"/>
        </w:rPr>
        <w:t>El nuevo proceso de votación para los diputados provinciales</w:t>
      </w:r>
      <w:r w:rsidR="00B148E3">
        <w:rPr>
          <w:lang w:val="es-ES"/>
        </w:rPr>
        <w:t xml:space="preserve"> fue</w:t>
      </w:r>
      <w:r w:rsidRPr="00B148E3">
        <w:rPr>
          <w:lang w:val="es-ES"/>
        </w:rPr>
        <w:t xml:space="preserve"> complicado, pero aparentemente exitoso. Los ciudadanos </w:t>
      </w:r>
      <w:r w:rsidR="002307FD">
        <w:rPr>
          <w:lang w:val="es-ES"/>
        </w:rPr>
        <w:t>votaron</w:t>
      </w:r>
      <w:r w:rsidRPr="00B148E3">
        <w:rPr>
          <w:lang w:val="es-ES"/>
        </w:rPr>
        <w:t xml:space="preserve"> </w:t>
      </w:r>
      <w:r w:rsidR="00C95416">
        <w:rPr>
          <w:lang w:val="es-ES"/>
        </w:rPr>
        <w:t>en</w:t>
      </w:r>
      <w:r w:rsidR="00C95416" w:rsidRPr="00B148E3">
        <w:rPr>
          <w:lang w:val="es-ES"/>
        </w:rPr>
        <w:t xml:space="preserve"> </w:t>
      </w:r>
      <w:r w:rsidRPr="00B148E3">
        <w:rPr>
          <w:lang w:val="es-ES"/>
        </w:rPr>
        <w:t>voz alta, individual y públicamente</w:t>
      </w:r>
      <w:r w:rsidR="002307FD">
        <w:rPr>
          <w:lang w:val="es-ES"/>
        </w:rPr>
        <w:t>,</w:t>
      </w:r>
      <w:r w:rsidRPr="00B148E3">
        <w:rPr>
          <w:lang w:val="es-ES"/>
        </w:rPr>
        <w:t xml:space="preserve"> </w:t>
      </w:r>
      <w:r w:rsidR="00C95416">
        <w:rPr>
          <w:lang w:val="es-ES"/>
        </w:rPr>
        <w:t>por</w:t>
      </w:r>
      <w:r w:rsidR="00C95416" w:rsidRPr="00B148E3">
        <w:rPr>
          <w:lang w:val="es-ES"/>
        </w:rPr>
        <w:t xml:space="preserve"> </w:t>
      </w:r>
      <w:r w:rsidRPr="00B148E3">
        <w:rPr>
          <w:lang w:val="es-ES"/>
        </w:rPr>
        <w:t>sus electores en elecciones parroquiale</w:t>
      </w:r>
      <w:r w:rsidR="002307FD">
        <w:rPr>
          <w:lang w:val="es-ES"/>
        </w:rPr>
        <w:t>s</w:t>
      </w:r>
      <w:r w:rsidRPr="00B148E3">
        <w:rPr>
          <w:lang w:val="es-ES"/>
        </w:rPr>
        <w:t xml:space="preserve"> el primer domingo de diciembre. Los electores votaron </w:t>
      </w:r>
      <w:r w:rsidR="002307FD">
        <w:rPr>
          <w:lang w:val="es-ES"/>
        </w:rPr>
        <w:t>por</w:t>
      </w:r>
      <w:r w:rsidR="002307FD" w:rsidRPr="00B148E3">
        <w:rPr>
          <w:lang w:val="es-ES"/>
        </w:rPr>
        <w:t xml:space="preserve"> </w:t>
      </w:r>
      <w:r w:rsidR="002307FD">
        <w:rPr>
          <w:lang w:val="es-ES"/>
        </w:rPr>
        <w:t xml:space="preserve">escrito por </w:t>
      </w:r>
      <w:r w:rsidR="002307FD" w:rsidRPr="00B148E3">
        <w:rPr>
          <w:lang w:val="es-ES"/>
        </w:rPr>
        <w:t xml:space="preserve">los titulares de cargo </w:t>
      </w:r>
      <w:r w:rsidR="00C95416" w:rsidRPr="00B148E3">
        <w:rPr>
          <w:lang w:val="es-ES"/>
        </w:rPr>
        <w:t>el primer domingo de enero</w:t>
      </w:r>
      <w:r w:rsidRPr="00B148E3">
        <w:rPr>
          <w:lang w:val="es-ES"/>
        </w:rPr>
        <w:t xml:space="preserve"> en las elecciones de distrito, </w:t>
      </w:r>
      <w:r w:rsidR="002307FD">
        <w:rPr>
          <w:lang w:val="es-ES"/>
        </w:rPr>
        <w:t xml:space="preserve">viajando para hacerlo </w:t>
      </w:r>
      <w:r w:rsidR="00E96367">
        <w:rPr>
          <w:lang w:val="es-ES"/>
        </w:rPr>
        <w:t xml:space="preserve">a </w:t>
      </w:r>
      <w:r w:rsidRPr="00B148E3">
        <w:rPr>
          <w:lang w:val="es-ES"/>
        </w:rPr>
        <w:t>las capitales de ellos. Era prohibido votar por sí mismo bajo pena de perder el derecho a votar. También podían reclamar el voto de otro; la junta electoral eval</w:t>
      </w:r>
      <w:r w:rsidR="00C95416">
        <w:rPr>
          <w:lang w:val="es-ES"/>
        </w:rPr>
        <w:t>uaba</w:t>
      </w:r>
      <w:r w:rsidRPr="00B148E3">
        <w:rPr>
          <w:lang w:val="es-ES"/>
        </w:rPr>
        <w:t xml:space="preserve"> la denuncia oral en el acto. En cada etapa, los votantes eligieron </w:t>
      </w:r>
      <w:r w:rsidR="00C95416">
        <w:rPr>
          <w:lang w:val="es-ES"/>
        </w:rPr>
        <w:t>a</w:t>
      </w:r>
      <w:r w:rsidRPr="00B148E3">
        <w:rPr>
          <w:lang w:val="es-ES"/>
        </w:rPr>
        <w:t xml:space="preserve">l secretario y </w:t>
      </w:r>
      <w:r w:rsidR="00C95416">
        <w:rPr>
          <w:lang w:val="es-ES"/>
        </w:rPr>
        <w:t xml:space="preserve">a </w:t>
      </w:r>
      <w:r w:rsidRPr="00B148E3">
        <w:rPr>
          <w:lang w:val="es-ES"/>
        </w:rPr>
        <w:t>los escrutadores de una junta electoral, presidida por la autoridad local, que escuchó y contó cada voto y luego certificó los resultados. El ganador se decidía por mayoría simple; el sorteo y Dios ya no imponía un vencedor. Además, cada pueblo aceptó que los electores de distrito participaran en un proceso que reflejaría la voluntad de varias comunidades.  El método electoral creado por Cádiz -- indirecto, de distrito y en base de votos orales--con los cambios que se analizan a continuación, formaban la base del sistema adoptado después de la independencia en 1824 y hasta fines de la década de 1830.</w:t>
      </w:r>
      <w:r w:rsidRPr="00B148E3">
        <w:rPr>
          <w:rStyle w:val="FootnoteReference"/>
          <w:lang w:val="es-ES"/>
        </w:rPr>
        <w:t xml:space="preserve"> </w:t>
      </w:r>
      <w:r w:rsidRPr="00B148E3">
        <w:rPr>
          <w:rStyle w:val="FootnoteReference"/>
        </w:rPr>
        <w:footnoteReference w:id="36"/>
      </w:r>
      <w:r w:rsidRPr="00B148E3">
        <w:rPr>
          <w:lang w:val="es-ES"/>
        </w:rPr>
        <w:t xml:space="preserve">  </w:t>
      </w:r>
    </w:p>
    <w:p w14:paraId="2B81B7B6" w14:textId="77777777" w:rsidR="00936C95" w:rsidRPr="001C4D3B" w:rsidRDefault="00936C95" w:rsidP="001C4D3B">
      <w:pPr>
        <w:spacing w:line="360" w:lineRule="auto"/>
        <w:ind w:firstLine="284"/>
        <w:jc w:val="both"/>
        <w:rPr>
          <w:lang w:val="es-ES"/>
        </w:rPr>
      </w:pPr>
      <w:r w:rsidRPr="00D323CE">
        <w:rPr>
          <w:lang w:val="es-ES"/>
        </w:rPr>
        <w:t>Otro paso hacia una democracia de ciudadanos establecida en la Constitución de Cádiz era acabar con la distinción política entre españoles y naturales o indígenas.  En Centroamérica, además, se interpretó la Constitución para incluir a los hombres libres de origen africano en el cuerpo político como ciudadanos “españoles”. El número de representantes se basó en la población y no en la etnicidad. En la práctica, este sistema electoral redujo las distinciones políticas (si no socio-económicas) de la jerarquía racial de la época colonial, ya muy compleja después de trescientos años de mestizaje y convivencia, y allanó el camino para incorporar a todos los hombres mayores de edad como ciudadanos en las elecciones posteriores a la independencia</w:t>
      </w:r>
      <w:r w:rsidRPr="00D323CE">
        <w:rPr>
          <w:rStyle w:val="FootnoteReference"/>
        </w:rPr>
        <w:footnoteReference w:id="37"/>
      </w:r>
      <w:r w:rsidRPr="00D323CE">
        <w:rPr>
          <w:lang w:val="es-ES"/>
        </w:rPr>
        <w:t>.</w:t>
      </w:r>
    </w:p>
    <w:p w14:paraId="2A719138" w14:textId="315BD4C1" w:rsidR="00936C95" w:rsidRPr="009E0D81" w:rsidRDefault="00936C95" w:rsidP="00F45565">
      <w:pPr>
        <w:spacing w:line="360" w:lineRule="auto"/>
        <w:ind w:firstLine="284"/>
        <w:jc w:val="both"/>
        <w:rPr>
          <w:lang w:val="es-ES"/>
        </w:rPr>
      </w:pPr>
      <w:r w:rsidRPr="00D323CE">
        <w:rPr>
          <w:lang w:val="es-ES"/>
        </w:rPr>
        <w:lastRenderedPageBreak/>
        <w:t>Aunque ningún estudio exhaustivo rastrea las elecciones de cada pueblo y aldea, los archivos muestran que el gobierno representativo se arraiga a través de elecciones celebradas en todo el reino en 1813-1814 y, nuevamente, en 1820-1821. En ambos contextos, Centroamérica instaló las dos diputaciones provinciales autorizadas por la constitución y formó cientos de ayuntamientos constitucionales</w:t>
      </w:r>
      <w:r w:rsidRPr="00D323CE">
        <w:rPr>
          <w:rStyle w:val="FootnoteReference"/>
        </w:rPr>
        <w:footnoteReference w:id="38"/>
      </w:r>
      <w:r w:rsidRPr="00D323CE">
        <w:rPr>
          <w:lang w:val="es-ES"/>
        </w:rPr>
        <w:t>. En las ciudades</w:t>
      </w:r>
      <w:r>
        <w:rPr>
          <w:lang w:val="es-ES"/>
        </w:rPr>
        <w:t xml:space="preserve"> regionales</w:t>
      </w:r>
      <w:r w:rsidRPr="00D323CE">
        <w:rPr>
          <w:lang w:val="es-ES"/>
        </w:rPr>
        <w:t>, nuevos grupos sociales entraron en los ayuntamientos. Guatemala, Tegucigalpa y Sonsonate, entre otros, eligieron a individuos de las clases trabajadoras e incluso de una herencia racial mixta</w:t>
      </w:r>
      <w:r w:rsidRPr="00D323CE">
        <w:rPr>
          <w:rStyle w:val="FootnoteReference"/>
        </w:rPr>
        <w:footnoteReference w:id="39"/>
      </w:r>
      <w:r>
        <w:rPr>
          <w:lang w:val="es-ES"/>
        </w:rPr>
        <w:t xml:space="preserve"> Además, las fuentes municipales revelan </w:t>
      </w:r>
      <w:r w:rsidRPr="00B148E3">
        <w:rPr>
          <w:lang w:val="es-ES"/>
        </w:rPr>
        <w:t>votantes numerosos en pueblos indígenas.</w:t>
      </w:r>
      <w:r>
        <w:rPr>
          <w:lang w:val="es-ES"/>
        </w:rPr>
        <w:t xml:space="preserve"> Un listado </w:t>
      </w:r>
      <w:r w:rsidRPr="00D323CE">
        <w:rPr>
          <w:lang w:val="es-ES"/>
        </w:rPr>
        <w:t>de votantes</w:t>
      </w:r>
      <w:r>
        <w:rPr>
          <w:lang w:val="es-ES"/>
        </w:rPr>
        <w:t xml:space="preserve"> de 1813</w:t>
      </w:r>
      <w:r w:rsidRPr="00D323CE">
        <w:rPr>
          <w:lang w:val="es-ES"/>
        </w:rPr>
        <w:t xml:space="preserve"> en San Miguel </w:t>
      </w:r>
      <w:proofErr w:type="spellStart"/>
      <w:r w:rsidRPr="00D323CE">
        <w:rPr>
          <w:lang w:val="es-ES"/>
        </w:rPr>
        <w:t>Petapa</w:t>
      </w:r>
      <w:proofErr w:type="spellEnd"/>
      <w:r w:rsidRPr="00D323CE">
        <w:rPr>
          <w:lang w:val="es-ES"/>
        </w:rPr>
        <w:t xml:space="preserve"> (Guatemala)</w:t>
      </w:r>
      <w:r>
        <w:rPr>
          <w:lang w:val="es-ES"/>
        </w:rPr>
        <w:t>, estudiados</w:t>
      </w:r>
      <w:r w:rsidRPr="00D323CE">
        <w:rPr>
          <w:lang w:val="es-ES"/>
        </w:rPr>
        <w:t xml:space="preserve"> </w:t>
      </w:r>
      <w:r>
        <w:rPr>
          <w:lang w:val="es-ES"/>
        </w:rPr>
        <w:t xml:space="preserve">por </w:t>
      </w:r>
      <w:r w:rsidRPr="00D323CE">
        <w:rPr>
          <w:lang w:val="es-ES"/>
        </w:rPr>
        <w:t xml:space="preserve"> Ricardo </w:t>
      </w:r>
      <w:proofErr w:type="spellStart"/>
      <w:r w:rsidRPr="00D323CE">
        <w:rPr>
          <w:lang w:val="es-ES"/>
        </w:rPr>
        <w:t>Dardón</w:t>
      </w:r>
      <w:proofErr w:type="spellEnd"/>
      <w:r w:rsidRPr="00D323CE">
        <w:rPr>
          <w:lang w:val="es-ES"/>
        </w:rPr>
        <w:t xml:space="preserve"> Flores</w:t>
      </w:r>
      <w:r>
        <w:rPr>
          <w:lang w:val="es-ES"/>
        </w:rPr>
        <w:t xml:space="preserve">, registra </w:t>
      </w:r>
      <w:r w:rsidRPr="00D323CE">
        <w:rPr>
          <w:lang w:val="es-ES"/>
        </w:rPr>
        <w:t>375 ciudadanos con derecho a voto en una población</w:t>
      </w:r>
      <w:r>
        <w:rPr>
          <w:lang w:val="es-ES"/>
        </w:rPr>
        <w:t xml:space="preserve"> de alrededor de mil almas,</w:t>
      </w:r>
      <w:r w:rsidRPr="00430011">
        <w:rPr>
          <w:lang w:val="es-ES"/>
        </w:rPr>
        <w:t xml:space="preserve"> </w:t>
      </w:r>
      <w:r w:rsidRPr="00D323CE">
        <w:rPr>
          <w:lang w:val="es-ES"/>
        </w:rPr>
        <w:t>según un</w:t>
      </w:r>
      <w:r w:rsidRPr="001C4D3B">
        <w:rPr>
          <w:lang w:val="es-ES"/>
        </w:rPr>
        <w:t xml:space="preserve"> censo</w:t>
      </w:r>
      <w:r>
        <w:rPr>
          <w:lang w:val="es-ES"/>
        </w:rPr>
        <w:t xml:space="preserve"> de la época</w:t>
      </w:r>
      <w:r w:rsidRPr="001C4D3B">
        <w:rPr>
          <w:rStyle w:val="FootnoteReference"/>
        </w:rPr>
        <w:footnoteReference w:id="40"/>
      </w:r>
      <w:r>
        <w:rPr>
          <w:lang w:val="es-ES"/>
        </w:rPr>
        <w:t>.</w:t>
      </w:r>
      <w:r w:rsidRPr="001C4D3B">
        <w:rPr>
          <w:lang w:val="es-ES"/>
        </w:rPr>
        <w:t xml:space="preserve"> En algunos lugares, los residentes </w:t>
      </w:r>
      <w:r w:rsidRPr="00D323CE">
        <w:rPr>
          <w:lang w:val="es-ES"/>
        </w:rPr>
        <w:t xml:space="preserve">indígenas tuvieron que ser convencidos para adoptar el nuevo sistema; en otros, ellos aprovecharon </w:t>
      </w:r>
      <w:r>
        <w:rPr>
          <w:lang w:val="es-ES"/>
        </w:rPr>
        <w:t xml:space="preserve">a </w:t>
      </w:r>
      <w:r w:rsidRPr="00D323CE">
        <w:rPr>
          <w:lang w:val="es-ES"/>
        </w:rPr>
        <w:t xml:space="preserve">las elecciones </w:t>
      </w:r>
      <w:r>
        <w:rPr>
          <w:lang w:val="es-ES"/>
        </w:rPr>
        <w:t xml:space="preserve">para ayuntamientos </w:t>
      </w:r>
      <w:r w:rsidRPr="00D323CE">
        <w:rPr>
          <w:lang w:val="es-ES"/>
        </w:rPr>
        <w:t xml:space="preserve">constitucionales para </w:t>
      </w:r>
      <w:r>
        <w:rPr>
          <w:lang w:val="es-ES"/>
        </w:rPr>
        <w:t>remplazar</w:t>
      </w:r>
      <w:r w:rsidRPr="00D323CE">
        <w:rPr>
          <w:lang w:val="es-ES"/>
        </w:rPr>
        <w:t xml:space="preserve"> a los ladinos.</w:t>
      </w:r>
      <w:r>
        <w:rPr>
          <w:lang w:val="es-ES"/>
        </w:rPr>
        <w:t xml:space="preserve"> No era inusual cuando</w:t>
      </w:r>
      <w:r w:rsidRPr="00D323CE">
        <w:rPr>
          <w:lang w:val="es-ES"/>
        </w:rPr>
        <w:t xml:space="preserve"> el pueblo de Cobán</w:t>
      </w:r>
      <w:r>
        <w:rPr>
          <w:lang w:val="es-ES"/>
        </w:rPr>
        <w:t>, en</w:t>
      </w:r>
      <w:r w:rsidRPr="00D323CE">
        <w:rPr>
          <w:lang w:val="es-ES"/>
        </w:rPr>
        <w:t xml:space="preserve"> una zona maya en las tierras altas de Guatemala, eligió </w:t>
      </w:r>
      <w:r>
        <w:rPr>
          <w:lang w:val="es-ES"/>
        </w:rPr>
        <w:t>11 “indios”</w:t>
      </w:r>
      <w:r w:rsidRPr="00D323CE">
        <w:rPr>
          <w:lang w:val="es-ES"/>
        </w:rPr>
        <w:t xml:space="preserve"> </w:t>
      </w:r>
      <w:r>
        <w:rPr>
          <w:lang w:val="es-ES"/>
        </w:rPr>
        <w:t xml:space="preserve">para </w:t>
      </w:r>
      <w:proofErr w:type="gramStart"/>
      <w:r>
        <w:rPr>
          <w:lang w:val="es-ES"/>
        </w:rPr>
        <w:t>las 12 cargos municipales</w:t>
      </w:r>
      <w:proofErr w:type="gramEnd"/>
      <w:r>
        <w:rPr>
          <w:lang w:val="es-ES"/>
        </w:rPr>
        <w:t>, en 1820</w:t>
      </w:r>
      <w:r w:rsidRPr="00D323CE">
        <w:rPr>
          <w:rStyle w:val="FootnoteReference"/>
        </w:rPr>
        <w:footnoteReference w:id="41"/>
      </w:r>
      <w:r w:rsidRPr="00D323CE">
        <w:rPr>
          <w:lang w:val="es-ES"/>
        </w:rPr>
        <w:t xml:space="preserve">. </w:t>
      </w:r>
      <w:r>
        <w:rPr>
          <w:lang w:val="es-ES"/>
        </w:rPr>
        <w:t xml:space="preserve"> Aprovechándose del vocabulario político más conveniente, pueblos indígenas no </w:t>
      </w:r>
      <w:r w:rsidR="00C95416">
        <w:rPr>
          <w:lang w:val="es-ES"/>
        </w:rPr>
        <w:t xml:space="preserve">dudaron </w:t>
      </w:r>
      <w:r>
        <w:rPr>
          <w:lang w:val="es-ES"/>
        </w:rPr>
        <w:t xml:space="preserve">en </w:t>
      </w:r>
      <w:r w:rsidR="00C95416">
        <w:rPr>
          <w:lang w:val="es-ES"/>
        </w:rPr>
        <w:t xml:space="preserve">recordar </w:t>
      </w:r>
      <w:r>
        <w:rPr>
          <w:lang w:val="es-ES"/>
        </w:rPr>
        <w:t xml:space="preserve">a las </w:t>
      </w:r>
      <w:r w:rsidRPr="00D91EC4">
        <w:rPr>
          <w:lang w:val="es-ES"/>
        </w:rPr>
        <w:t>nuevas autoridades</w:t>
      </w:r>
      <w:r>
        <w:rPr>
          <w:lang w:val="es-ES"/>
        </w:rPr>
        <w:t xml:space="preserve"> de los </w:t>
      </w:r>
      <w:r w:rsidRPr="00D91EC4">
        <w:rPr>
          <w:lang w:val="es-ES"/>
        </w:rPr>
        <w:t xml:space="preserve">privilegios e identidades antiguos. </w:t>
      </w:r>
      <w:r w:rsidRPr="00B148E3">
        <w:rPr>
          <w:lang w:val="es-ES"/>
        </w:rPr>
        <w:t xml:space="preserve">Un ejemplo fascinante es una queja de 1822, en </w:t>
      </w:r>
      <w:r w:rsidR="00C95416">
        <w:rPr>
          <w:lang w:val="es-ES"/>
        </w:rPr>
        <w:t>la</w:t>
      </w:r>
      <w:r w:rsidR="00C95416" w:rsidRPr="00B148E3">
        <w:rPr>
          <w:lang w:val="es-ES"/>
        </w:rPr>
        <w:t xml:space="preserve"> </w:t>
      </w:r>
      <w:r w:rsidRPr="00B148E3">
        <w:rPr>
          <w:lang w:val="es-ES"/>
        </w:rPr>
        <w:t xml:space="preserve">cual el elector de distrito, el "indio natural" </w:t>
      </w:r>
      <w:proofErr w:type="spellStart"/>
      <w:r w:rsidRPr="00B148E3">
        <w:rPr>
          <w:lang w:val="es-ES"/>
        </w:rPr>
        <w:t>Juaquín</w:t>
      </w:r>
      <w:proofErr w:type="spellEnd"/>
      <w:r w:rsidRPr="00B148E3">
        <w:rPr>
          <w:lang w:val="es-ES"/>
        </w:rPr>
        <w:t xml:space="preserve"> </w:t>
      </w:r>
      <w:proofErr w:type="spellStart"/>
      <w:r w:rsidRPr="00B148E3">
        <w:rPr>
          <w:lang w:val="es-ES"/>
        </w:rPr>
        <w:t>Cham</w:t>
      </w:r>
      <w:proofErr w:type="spellEnd"/>
      <w:r w:rsidRPr="00B148E3">
        <w:rPr>
          <w:lang w:val="es-ES"/>
        </w:rPr>
        <w:t xml:space="preserve"> de </w:t>
      </w:r>
      <w:proofErr w:type="spellStart"/>
      <w:r w:rsidRPr="00B148E3">
        <w:rPr>
          <w:lang w:val="es-ES"/>
        </w:rPr>
        <w:t>Chamaltenango</w:t>
      </w:r>
      <w:proofErr w:type="spellEnd"/>
      <w:r w:rsidRPr="00B148E3">
        <w:rPr>
          <w:lang w:val="es-ES"/>
        </w:rPr>
        <w:t xml:space="preserve"> (Guatemala), protestó que el ‘corregidor’ (jefe político) había trasladado el local de votación fuera de su pueblo. "No parece justo", escribió, "que este pueblo, ayuntamiento y vecindario pierdan las prerrogativas que hasta ahora les correspondían" El elector, presentándose como tal ante un cuerpo constitucional, reclamó a los derechos </w:t>
      </w:r>
      <w:r w:rsidR="00E96367">
        <w:rPr>
          <w:lang w:val="es-ES"/>
        </w:rPr>
        <w:t>de su comunidad, no individuales,</w:t>
      </w:r>
      <w:r w:rsidR="00C95416">
        <w:rPr>
          <w:lang w:val="es-ES"/>
        </w:rPr>
        <w:t xml:space="preserve"> </w:t>
      </w:r>
      <w:r w:rsidRPr="00B148E3">
        <w:rPr>
          <w:lang w:val="es-ES"/>
        </w:rPr>
        <w:t>que ni él ni los que recibieron la consulta vieron como contradictorias</w:t>
      </w:r>
      <w:r w:rsidRPr="00B148E3">
        <w:rPr>
          <w:rStyle w:val="FootnoteReference"/>
          <w:lang w:val="es-ES"/>
        </w:rPr>
        <w:footnoteReference w:id="42"/>
      </w:r>
      <w:r w:rsidR="00B148E3">
        <w:rPr>
          <w:lang w:val="es-ES"/>
        </w:rPr>
        <w:t>.</w:t>
      </w:r>
    </w:p>
    <w:p w14:paraId="61DCCB7D" w14:textId="1D85E4B3" w:rsidR="00936C95" w:rsidRPr="001C4D3B" w:rsidRDefault="00936C95" w:rsidP="001C4D3B">
      <w:pPr>
        <w:spacing w:line="360" w:lineRule="auto"/>
        <w:ind w:firstLine="284"/>
        <w:jc w:val="both"/>
        <w:rPr>
          <w:lang w:val="es-ES"/>
        </w:rPr>
      </w:pPr>
      <w:r w:rsidRPr="00D323CE">
        <w:rPr>
          <w:lang w:val="es-ES"/>
        </w:rPr>
        <w:t xml:space="preserve">Aunque la estructura electoral indirecta de la legislación gaditana fue más inclusiva que las prácticas gubernamentales del Antiguo Régimen, aquella tuvo serias limitaciones para crear un cuerpo político totalmente igualitario.  En la mayoría de los distritos, los electores, los diputados a Cortes y los diputados provinciales eran de origen europeo. </w:t>
      </w:r>
      <w:proofErr w:type="spellStart"/>
      <w:r w:rsidRPr="00D323CE">
        <w:rPr>
          <w:lang w:val="es-ES"/>
        </w:rPr>
        <w:t>Dardón</w:t>
      </w:r>
      <w:proofErr w:type="spellEnd"/>
      <w:r w:rsidRPr="00D323CE">
        <w:rPr>
          <w:lang w:val="es-ES"/>
        </w:rPr>
        <w:t xml:space="preserve"> encontró que seis de los once </w:t>
      </w:r>
      <w:r w:rsidRPr="00D323CE">
        <w:rPr>
          <w:lang w:val="es-ES"/>
        </w:rPr>
        <w:lastRenderedPageBreak/>
        <w:t>electores de parroquia que se reunieron en Antigua, Guatemala, eran alcaldes</w:t>
      </w:r>
      <w:r>
        <w:rPr>
          <w:lang w:val="es-ES"/>
        </w:rPr>
        <w:t>, con</w:t>
      </w:r>
      <w:r w:rsidRPr="00D323CE">
        <w:rPr>
          <w:lang w:val="es-ES"/>
        </w:rPr>
        <w:t xml:space="preserve"> sólo uno de origen maya</w:t>
      </w:r>
      <w:r w:rsidRPr="00D323CE">
        <w:rPr>
          <w:rStyle w:val="FootnoteReference"/>
          <w:lang w:val="es-ES"/>
        </w:rPr>
        <w:footnoteReference w:id="43"/>
      </w:r>
      <w:r w:rsidRPr="00D323CE">
        <w:rPr>
          <w:lang w:val="es-ES"/>
        </w:rPr>
        <w:t>. El sistema requería que los electores dispusieran de tiempo y de caudales propios para asistir a las capitales de distrito, aunque técnicamente se suponía que los electores reciban un viático diario</w:t>
      </w:r>
      <w:r w:rsidRPr="00D323CE">
        <w:rPr>
          <w:rStyle w:val="FootnoteReference"/>
          <w:lang w:val="es-ES"/>
        </w:rPr>
        <w:footnoteReference w:id="44"/>
      </w:r>
      <w:r w:rsidRPr="00D323CE">
        <w:rPr>
          <w:lang w:val="es-ES"/>
        </w:rPr>
        <w:t xml:space="preserve">. En consecuencia, el sistema electoral escalonado de la reglamentación gaditana, mantuvo una autoridad sustancial </w:t>
      </w:r>
      <w:r w:rsidR="00254C07">
        <w:rPr>
          <w:lang w:val="es-ES"/>
        </w:rPr>
        <w:t>en</w:t>
      </w:r>
      <w:r w:rsidR="00254C07" w:rsidRPr="00D323CE">
        <w:rPr>
          <w:lang w:val="es-ES"/>
        </w:rPr>
        <w:t xml:space="preserve"> </w:t>
      </w:r>
      <w:r w:rsidRPr="00D323CE">
        <w:rPr>
          <w:lang w:val="es-ES"/>
        </w:rPr>
        <w:t xml:space="preserve">la toma de decisiones </w:t>
      </w:r>
      <w:r w:rsidR="00254C07">
        <w:rPr>
          <w:lang w:val="es-ES"/>
        </w:rPr>
        <w:t>de</w:t>
      </w:r>
      <w:r w:rsidR="00254C07" w:rsidRPr="00D323CE">
        <w:rPr>
          <w:lang w:val="es-ES"/>
        </w:rPr>
        <w:t xml:space="preserve"> </w:t>
      </w:r>
      <w:r w:rsidRPr="00D323CE">
        <w:rPr>
          <w:lang w:val="es-ES"/>
        </w:rPr>
        <w:t>manos de personas con capital económico y social, generalmente miembros de la iglesia o miembros de familias ricas o pudientes</w:t>
      </w:r>
      <w:r w:rsidRPr="00D323CE">
        <w:rPr>
          <w:rStyle w:val="FootnoteReference"/>
          <w:lang w:val="es-ES"/>
        </w:rPr>
        <w:footnoteReference w:id="45"/>
      </w:r>
      <w:r w:rsidRPr="00D323CE">
        <w:rPr>
          <w:lang w:val="es-ES"/>
        </w:rPr>
        <w:t>.</w:t>
      </w:r>
      <w:r w:rsidRPr="001C4D3B">
        <w:rPr>
          <w:lang w:val="es-ES"/>
        </w:rPr>
        <w:t xml:space="preserve"> </w:t>
      </w:r>
    </w:p>
    <w:p w14:paraId="6E775273" w14:textId="52590FC0" w:rsidR="00936C95" w:rsidRPr="001C4D3B" w:rsidRDefault="00936C95" w:rsidP="001C4D3B">
      <w:pPr>
        <w:spacing w:line="360" w:lineRule="auto"/>
        <w:ind w:firstLine="284"/>
        <w:jc w:val="both"/>
        <w:rPr>
          <w:lang w:val="es-ES"/>
        </w:rPr>
      </w:pPr>
      <w:r w:rsidRPr="001C4D3B">
        <w:rPr>
          <w:lang w:val="es-ES"/>
        </w:rPr>
        <w:t xml:space="preserve">¿Qué libertad tenían los individuos para votar en estas </w:t>
      </w:r>
      <w:r>
        <w:rPr>
          <w:lang w:val="es-ES"/>
        </w:rPr>
        <w:t xml:space="preserve">tempranas </w:t>
      </w:r>
      <w:r w:rsidRPr="001C4D3B">
        <w:rPr>
          <w:lang w:val="es-ES"/>
        </w:rPr>
        <w:t xml:space="preserve">elecciones? </w:t>
      </w:r>
      <w:r w:rsidRPr="000A546A">
        <w:rPr>
          <w:lang w:val="es-ES"/>
        </w:rPr>
        <w:t xml:space="preserve">El sistema no permitía candidatos y las actas electorales no indican cómo los individuos </w:t>
      </w:r>
      <w:r w:rsidR="00254C07" w:rsidRPr="000A546A">
        <w:rPr>
          <w:lang w:val="es-ES"/>
        </w:rPr>
        <w:t>seleccion</w:t>
      </w:r>
      <w:r w:rsidR="00254C07">
        <w:rPr>
          <w:lang w:val="es-ES"/>
        </w:rPr>
        <w:t>aban</w:t>
      </w:r>
      <w:r w:rsidR="00254C07" w:rsidRPr="000A546A">
        <w:rPr>
          <w:lang w:val="es-ES"/>
        </w:rPr>
        <w:t xml:space="preserve"> </w:t>
      </w:r>
      <w:r w:rsidRPr="000A546A">
        <w:rPr>
          <w:lang w:val="es-ES"/>
        </w:rPr>
        <w:t xml:space="preserve">a </w:t>
      </w:r>
      <w:r w:rsidR="00254C07">
        <w:rPr>
          <w:lang w:val="es-ES"/>
        </w:rPr>
        <w:t>sus candidatos</w:t>
      </w:r>
      <w:r w:rsidRPr="000A546A">
        <w:rPr>
          <w:lang w:val="es-ES"/>
        </w:rPr>
        <w:t>. El expresarse a partir de los votos orales durante las juntas de parroquia, aunque</w:t>
      </w:r>
      <w:r>
        <w:rPr>
          <w:lang w:val="es-ES"/>
        </w:rPr>
        <w:t xml:space="preserve"> quizás supliera</w:t>
      </w:r>
      <w:r w:rsidRPr="001C4D3B">
        <w:rPr>
          <w:lang w:val="es-ES"/>
        </w:rPr>
        <w:t xml:space="preserve"> </w:t>
      </w:r>
      <w:r>
        <w:rPr>
          <w:lang w:val="es-ES"/>
        </w:rPr>
        <w:t xml:space="preserve">eficazmente la carencia de </w:t>
      </w:r>
      <w:r w:rsidRPr="001C4D3B">
        <w:rPr>
          <w:lang w:val="es-ES"/>
        </w:rPr>
        <w:t>alfabetización, podría</w:t>
      </w:r>
      <w:r>
        <w:rPr>
          <w:lang w:val="es-ES"/>
        </w:rPr>
        <w:t xml:space="preserve"> haber dificultado </w:t>
      </w:r>
      <w:r w:rsidRPr="001C4D3B">
        <w:rPr>
          <w:lang w:val="es-ES"/>
        </w:rPr>
        <w:t xml:space="preserve">la diversidad de opiniones. </w:t>
      </w:r>
      <w:r>
        <w:rPr>
          <w:lang w:val="es-ES"/>
        </w:rPr>
        <w:t>Sin embargo, las actas electorales no anotan unanimidad de votos. L</w:t>
      </w:r>
      <w:r w:rsidRPr="001C4D3B">
        <w:rPr>
          <w:lang w:val="es-ES"/>
        </w:rPr>
        <w:t>a mayoría de l</w:t>
      </w:r>
      <w:r>
        <w:rPr>
          <w:lang w:val="es-ES"/>
        </w:rPr>
        <w:t>a</w:t>
      </w:r>
      <w:r w:rsidRPr="001C4D3B">
        <w:rPr>
          <w:lang w:val="es-ES"/>
        </w:rPr>
        <w:t xml:space="preserve">s </w:t>
      </w:r>
      <w:r>
        <w:rPr>
          <w:lang w:val="es-ES"/>
        </w:rPr>
        <w:t xml:space="preserve">elecciones registradas muestran </w:t>
      </w:r>
      <w:r w:rsidRPr="001C4D3B">
        <w:rPr>
          <w:lang w:val="es-ES"/>
        </w:rPr>
        <w:t xml:space="preserve">un apoyo simbólico </w:t>
      </w:r>
      <w:r w:rsidR="00254C07">
        <w:rPr>
          <w:lang w:val="es-ES"/>
        </w:rPr>
        <w:t>por</w:t>
      </w:r>
      <w:r w:rsidR="00254C07" w:rsidRPr="001C4D3B">
        <w:rPr>
          <w:lang w:val="es-ES"/>
        </w:rPr>
        <w:t xml:space="preserve"> </w:t>
      </w:r>
      <w:r w:rsidRPr="001C4D3B">
        <w:rPr>
          <w:lang w:val="es-ES"/>
        </w:rPr>
        <w:t>varias pers</w:t>
      </w:r>
      <w:r>
        <w:rPr>
          <w:lang w:val="es-ES"/>
        </w:rPr>
        <w:t xml:space="preserve">onas, lo que sugiere </w:t>
      </w:r>
      <w:r w:rsidRPr="000A546A">
        <w:rPr>
          <w:lang w:val="es-ES"/>
        </w:rPr>
        <w:t>cierto</w:t>
      </w:r>
      <w:r w:rsidRPr="001C4D3B">
        <w:rPr>
          <w:lang w:val="es-ES"/>
        </w:rPr>
        <w:t xml:space="preserve"> margen para el debate y la elección</w:t>
      </w:r>
      <w:r>
        <w:rPr>
          <w:lang w:val="es-ES"/>
        </w:rPr>
        <w:t>, como se ven</w:t>
      </w:r>
      <w:r w:rsidRPr="001C4D3B">
        <w:rPr>
          <w:lang w:val="es-ES"/>
        </w:rPr>
        <w:t xml:space="preserve"> </w:t>
      </w:r>
      <w:r>
        <w:rPr>
          <w:lang w:val="es-ES"/>
        </w:rPr>
        <w:t xml:space="preserve">en el libro de elecciones de </w:t>
      </w:r>
      <w:r w:rsidRPr="001C4D3B">
        <w:rPr>
          <w:lang w:val="es-ES"/>
        </w:rPr>
        <w:t xml:space="preserve">Tegucigalpa (Honduras), </w:t>
      </w:r>
      <w:r>
        <w:rPr>
          <w:lang w:val="es-ES"/>
        </w:rPr>
        <w:t>donde excepcionalmente, para este período, se cuenta con</w:t>
      </w:r>
      <w:r w:rsidRPr="001C4D3B">
        <w:rPr>
          <w:lang w:val="es-ES"/>
        </w:rPr>
        <w:t xml:space="preserve"> registros completos</w:t>
      </w:r>
      <w:r>
        <w:rPr>
          <w:lang w:val="es-ES"/>
        </w:rPr>
        <w:t xml:space="preserve"> de elecciones municipales</w:t>
      </w:r>
      <w:r w:rsidRPr="001C4D3B">
        <w:rPr>
          <w:lang w:val="es-ES"/>
        </w:rPr>
        <w:t xml:space="preserve">. La elección de diciembre de 1812 del primer ayuntamiento constitucional parece típica: 17 electores se reunieron para sufragar </w:t>
      </w:r>
      <w:r>
        <w:rPr>
          <w:lang w:val="es-ES"/>
        </w:rPr>
        <w:t xml:space="preserve">a los miembros </w:t>
      </w:r>
      <w:r w:rsidRPr="001C4D3B">
        <w:rPr>
          <w:lang w:val="es-ES"/>
        </w:rPr>
        <w:t xml:space="preserve">de </w:t>
      </w:r>
      <w:r>
        <w:rPr>
          <w:lang w:val="es-ES"/>
        </w:rPr>
        <w:t xml:space="preserve">la corporación en </w:t>
      </w:r>
      <w:r w:rsidRPr="001C4D3B">
        <w:rPr>
          <w:lang w:val="es-ES"/>
        </w:rPr>
        <w:t xml:space="preserve">1813; los que ganaron recibieron entre 8 y 13 votos, y los nominados tenían un mínimo de 3 y un máximo de 13; </w:t>
      </w:r>
      <w:r>
        <w:rPr>
          <w:lang w:val="es-ES"/>
        </w:rPr>
        <w:t>cuando un alcalde electo declinaba el cargo, la junta elegía</w:t>
      </w:r>
      <w:r w:rsidRPr="001C4D3B">
        <w:rPr>
          <w:lang w:val="es-ES"/>
        </w:rPr>
        <w:t xml:space="preserve"> inmediatamente un reemplazo entre los que </w:t>
      </w:r>
      <w:r>
        <w:rPr>
          <w:lang w:val="es-ES"/>
        </w:rPr>
        <w:t>habían obtenido</w:t>
      </w:r>
      <w:r w:rsidRPr="001C4D3B">
        <w:rPr>
          <w:lang w:val="es-ES"/>
        </w:rPr>
        <w:t xml:space="preserve"> más votos</w:t>
      </w:r>
      <w:r w:rsidRPr="001C4D3B">
        <w:rPr>
          <w:rStyle w:val="FootnoteReference"/>
        </w:rPr>
        <w:footnoteReference w:id="46"/>
      </w:r>
      <w:r>
        <w:rPr>
          <w:lang w:val="es-ES"/>
        </w:rPr>
        <w:t>.</w:t>
      </w:r>
    </w:p>
    <w:p w14:paraId="72A2F006" w14:textId="60AEE524" w:rsidR="00936C95" w:rsidRPr="001C4D3B" w:rsidRDefault="00936C95" w:rsidP="001C4D3B">
      <w:pPr>
        <w:spacing w:line="360" w:lineRule="auto"/>
        <w:ind w:firstLine="284"/>
        <w:jc w:val="both"/>
        <w:rPr>
          <w:lang w:val="es-ES"/>
        </w:rPr>
      </w:pPr>
      <w:r w:rsidRPr="001A2532">
        <w:rPr>
          <w:lang w:val="es-ES"/>
        </w:rPr>
        <w:t>Por lo demás, el número de quejas presentadas ante las autoridades centrales sobre derecho al</w:t>
      </w:r>
      <w:r>
        <w:rPr>
          <w:lang w:val="es-ES"/>
        </w:rPr>
        <w:t xml:space="preserve"> voto, </w:t>
      </w:r>
      <w:r w:rsidRPr="001C4D3B">
        <w:rPr>
          <w:lang w:val="es-ES"/>
        </w:rPr>
        <w:t>presión para votar p</w:t>
      </w:r>
      <w:r>
        <w:rPr>
          <w:lang w:val="es-ES"/>
        </w:rPr>
        <w:t xml:space="preserve">or una lista de candidatos y </w:t>
      </w:r>
      <w:r w:rsidRPr="001C4D3B">
        <w:rPr>
          <w:lang w:val="es-ES"/>
        </w:rPr>
        <w:t xml:space="preserve">derecho a participar en los consejos </w:t>
      </w:r>
      <w:r>
        <w:rPr>
          <w:lang w:val="es-ES"/>
        </w:rPr>
        <w:t>electorales muestra que hubo intentos de</w:t>
      </w:r>
      <w:r w:rsidRPr="001C4D3B">
        <w:rPr>
          <w:lang w:val="es-ES"/>
        </w:rPr>
        <w:t xml:space="preserve"> influen</w:t>
      </w:r>
      <w:r>
        <w:rPr>
          <w:lang w:val="es-ES"/>
        </w:rPr>
        <w:t>ciar</w:t>
      </w:r>
      <w:r w:rsidRPr="001C4D3B">
        <w:rPr>
          <w:lang w:val="es-ES"/>
        </w:rPr>
        <w:t xml:space="preserve"> y</w:t>
      </w:r>
      <w:r>
        <w:rPr>
          <w:lang w:val="es-ES"/>
        </w:rPr>
        <w:t>,</w:t>
      </w:r>
      <w:r w:rsidRPr="001C4D3B">
        <w:rPr>
          <w:lang w:val="es-ES"/>
        </w:rPr>
        <w:t xml:space="preserve"> a veces</w:t>
      </w:r>
      <w:r>
        <w:rPr>
          <w:lang w:val="es-ES"/>
        </w:rPr>
        <w:t>,</w:t>
      </w:r>
      <w:r w:rsidRPr="001C4D3B">
        <w:rPr>
          <w:lang w:val="es-ES"/>
        </w:rPr>
        <w:t xml:space="preserve"> </w:t>
      </w:r>
      <w:r>
        <w:rPr>
          <w:lang w:val="es-ES"/>
        </w:rPr>
        <w:t xml:space="preserve">de </w:t>
      </w:r>
      <w:r w:rsidRPr="001C4D3B">
        <w:rPr>
          <w:lang w:val="es-ES"/>
        </w:rPr>
        <w:t>coaccionar a los el</w:t>
      </w:r>
      <w:r>
        <w:rPr>
          <w:lang w:val="es-ES"/>
        </w:rPr>
        <w:t xml:space="preserve">ectores. </w:t>
      </w:r>
      <w:r w:rsidRPr="00092E3A">
        <w:rPr>
          <w:lang w:val="es-ES"/>
        </w:rPr>
        <w:t xml:space="preserve">¿Fueron estas denuncias signos de fraude o de influencia indebida? Hasta cierto punto, los informes sobre conflictos electorales podrían indicar cómo la expansión de derechos y de individuos sirviendo en los nuevos ayuntamientos constitucionales, fue percibida por algunos </w:t>
      </w:r>
      <w:r w:rsidRPr="00092E3A">
        <w:rPr>
          <w:lang w:val="es-ES"/>
        </w:rPr>
        <w:lastRenderedPageBreak/>
        <w:t xml:space="preserve">como una amenaza, y por tanto sugieren más un problema de apertura o un aprendizaje que de limitación. A modo de ejemplo, veamos la descripción de las elecciones de diciembre de 1813 redactada por el Capitán General José de Bustamante, quien de ese modo intentó frenar o bloquear las nuevas instituciones. Bustamante lamentó que </w:t>
      </w:r>
      <w:r w:rsidRPr="00092E3A">
        <w:rPr>
          <w:bCs/>
          <w:lang w:val="es-ES"/>
        </w:rPr>
        <w:t>la embriaguez, el juego, la incontinencia, la ilegitimidad, la pobreza voluntaria y las malas costumbres sirvieran como obstáculo a las presentes elecciones.</w:t>
      </w:r>
      <w:r w:rsidRPr="00092E3A">
        <w:rPr>
          <w:lang w:val="es-ES"/>
        </w:rPr>
        <w:t xml:space="preserve"> Denunció que </w:t>
      </w:r>
      <w:r w:rsidR="00E96367" w:rsidRPr="00092E3A">
        <w:rPr>
          <w:bCs/>
          <w:lang w:val="es-ES"/>
        </w:rPr>
        <w:t>llevaba a</w:t>
      </w:r>
      <w:r w:rsidR="00E96367" w:rsidRPr="00092E3A">
        <w:rPr>
          <w:b/>
          <w:lang w:val="es-ES"/>
        </w:rPr>
        <w:t xml:space="preserve"> </w:t>
      </w:r>
      <w:r w:rsidR="00E96367" w:rsidRPr="00092E3A">
        <w:rPr>
          <w:bCs/>
          <w:lang w:val="es-ES"/>
        </w:rPr>
        <w:t>disensiones</w:t>
      </w:r>
      <w:r w:rsidR="00E96367" w:rsidRPr="00092E3A">
        <w:rPr>
          <w:lang w:val="es-ES"/>
        </w:rPr>
        <w:t xml:space="preserve"> </w:t>
      </w:r>
      <w:r w:rsidRPr="00092E3A">
        <w:rPr>
          <w:lang w:val="es-ES"/>
        </w:rPr>
        <w:t xml:space="preserve">la elección de </w:t>
      </w:r>
      <w:r w:rsidRPr="00092E3A">
        <w:rPr>
          <w:bCs/>
          <w:lang w:val="es-ES"/>
        </w:rPr>
        <w:t xml:space="preserve">personas incapaces de llevar a cabo funciones municipales </w:t>
      </w:r>
      <w:r w:rsidR="00E45818">
        <w:rPr>
          <w:bCs/>
          <w:lang w:val="es-ES"/>
        </w:rPr>
        <w:t xml:space="preserve">y </w:t>
      </w:r>
      <w:r w:rsidRPr="00092E3A">
        <w:rPr>
          <w:bCs/>
          <w:lang w:val="es-ES"/>
        </w:rPr>
        <w:t>sin poder promover utilidad para el estado y analfabetos</w:t>
      </w:r>
      <w:r w:rsidRPr="00092E3A">
        <w:rPr>
          <w:lang w:val="es-ES"/>
        </w:rPr>
        <w:t xml:space="preserve">. </w:t>
      </w:r>
      <w:r w:rsidR="00E45818">
        <w:rPr>
          <w:lang w:val="es-ES"/>
        </w:rPr>
        <w:t>D</w:t>
      </w:r>
      <w:r w:rsidRPr="00092E3A">
        <w:rPr>
          <w:lang w:val="es-ES"/>
        </w:rPr>
        <w:t>io noticia de fraudes y erupción de rivalidades peligrosas, y las atribuyó a “que individuos deseosos de exaltarse a sí mismos habían buscado cargos municipales por medios que los hombres de fe u honor desconocen”</w:t>
      </w:r>
      <w:r w:rsidRPr="00092E3A">
        <w:rPr>
          <w:rStyle w:val="FootnoteReference"/>
          <w:lang w:val="es-ES"/>
        </w:rPr>
        <w:t xml:space="preserve"> </w:t>
      </w:r>
      <w:r w:rsidRPr="00092E3A">
        <w:rPr>
          <w:rStyle w:val="FootnoteReference"/>
        </w:rPr>
        <w:footnoteReference w:id="47"/>
      </w:r>
      <w:r w:rsidRPr="00092E3A">
        <w:rPr>
          <w:lang w:val="es-ES"/>
        </w:rPr>
        <w:t xml:space="preserve">. Sus quejas, más que problemas electorales, parecían testimoniar tanto un asunto de apertura e inclusión, de un lado, como, de otro lado, preocupaciones elitistas sobre la alfabetización y el nacimiento legítimo que la constitución </w:t>
      </w:r>
      <w:r w:rsidR="00E96367">
        <w:rPr>
          <w:lang w:val="es-ES"/>
        </w:rPr>
        <w:t xml:space="preserve">no requirió, </w:t>
      </w:r>
      <w:r w:rsidRPr="00092E3A">
        <w:rPr>
          <w:lang w:val="es-ES"/>
        </w:rPr>
        <w:t>así como la pérdida del "honor" como criterio para una correcta actividad política.</w:t>
      </w:r>
    </w:p>
    <w:p w14:paraId="6FDF05E5" w14:textId="77777777" w:rsidR="00936C95" w:rsidRDefault="00936C95" w:rsidP="00093AAE">
      <w:pPr>
        <w:spacing w:line="360" w:lineRule="auto"/>
        <w:ind w:firstLine="284"/>
        <w:jc w:val="both"/>
        <w:rPr>
          <w:lang w:val="es-ES"/>
        </w:rPr>
      </w:pPr>
      <w:r w:rsidRPr="001C4D3B">
        <w:rPr>
          <w:lang w:val="es-ES"/>
        </w:rPr>
        <w:t xml:space="preserve">De hecho, algunas denuncias confirman una </w:t>
      </w:r>
      <w:r w:rsidRPr="001A2532">
        <w:rPr>
          <w:lang w:val="es-ES"/>
        </w:rPr>
        <w:t>incipiente</w:t>
      </w:r>
      <w:r>
        <w:rPr>
          <w:lang w:val="es-ES"/>
        </w:rPr>
        <w:t xml:space="preserve"> </w:t>
      </w:r>
      <w:r w:rsidRPr="001C4D3B">
        <w:rPr>
          <w:lang w:val="es-ES"/>
        </w:rPr>
        <w:t>participación popular en la política municipal. Cuando en 1</w:t>
      </w:r>
      <w:r>
        <w:rPr>
          <w:lang w:val="es-ES"/>
        </w:rPr>
        <w:t>820 el maestro artesano Ambrosio Sánchez, en</w:t>
      </w:r>
      <w:r w:rsidRPr="001C4D3B">
        <w:rPr>
          <w:lang w:val="es-ES"/>
        </w:rPr>
        <w:t xml:space="preserve"> </w:t>
      </w:r>
      <w:r>
        <w:rPr>
          <w:lang w:val="es-ES"/>
        </w:rPr>
        <w:t xml:space="preserve">Ciudad de </w:t>
      </w:r>
      <w:r w:rsidRPr="001C4D3B">
        <w:rPr>
          <w:lang w:val="es-ES"/>
        </w:rPr>
        <w:t xml:space="preserve">Guatemala, alegó que se le privó injustamente de su derecho </w:t>
      </w:r>
      <w:r w:rsidRPr="001A2532">
        <w:rPr>
          <w:lang w:val="es-ES"/>
        </w:rPr>
        <w:t>al voto</w:t>
      </w:r>
      <w:r w:rsidRPr="001A2532">
        <w:rPr>
          <w:lang w:val="es-ES_tradnl"/>
        </w:rPr>
        <w:t xml:space="preserve">, el Jefe Político Superior consideró los artículos de la Constitución, así como las leyes extractadas del </w:t>
      </w:r>
      <w:r w:rsidRPr="001A2532">
        <w:rPr>
          <w:i/>
          <w:lang w:val="es-ES_tradnl"/>
        </w:rPr>
        <w:t>Diario de Cortes</w:t>
      </w:r>
      <w:r>
        <w:rPr>
          <w:i/>
          <w:lang w:val="es-ES_tradnl"/>
        </w:rPr>
        <w:t>,</w:t>
      </w:r>
      <w:r w:rsidRPr="001A2532">
        <w:rPr>
          <w:lang w:val="es-ES_tradnl"/>
        </w:rPr>
        <w:t xml:space="preserve"> para dictaminar que “en estas materias más bien debe ampliarse que restringirse su significado conforme a los principios generales en derecho”</w:t>
      </w:r>
      <w:r w:rsidRPr="001A2532">
        <w:rPr>
          <w:rStyle w:val="FootnoteReference"/>
          <w:lang w:val="es-ES_tradnl"/>
        </w:rPr>
        <w:footnoteReference w:id="48"/>
      </w:r>
      <w:r w:rsidRPr="001A2532">
        <w:rPr>
          <w:lang w:val="es-ES_tradnl"/>
        </w:rPr>
        <w:t>.</w:t>
      </w:r>
      <w:r w:rsidRPr="001A2532">
        <w:rPr>
          <w:color w:val="000000"/>
          <w:lang w:val="es-ES_tradnl"/>
        </w:rPr>
        <w:t xml:space="preserve"> </w:t>
      </w:r>
      <w:r w:rsidRPr="001A2532">
        <w:rPr>
          <w:lang w:val="es-ES"/>
        </w:rPr>
        <w:t>La ampliación de la participación popular denotó un crecimiento de la esfera pública.</w:t>
      </w:r>
      <w:r>
        <w:rPr>
          <w:lang w:val="es-ES"/>
        </w:rPr>
        <w:t xml:space="preserve"> </w:t>
      </w:r>
    </w:p>
    <w:p w14:paraId="59F21BCC" w14:textId="72554232" w:rsidR="00936C95" w:rsidRPr="00093AAE" w:rsidRDefault="00936C95" w:rsidP="00093AAE">
      <w:pPr>
        <w:spacing w:line="360" w:lineRule="auto"/>
        <w:ind w:firstLine="284"/>
        <w:jc w:val="both"/>
        <w:rPr>
          <w:lang w:val="es-ES_tradnl"/>
        </w:rPr>
      </w:pPr>
      <w:r w:rsidRPr="001A2532">
        <w:rPr>
          <w:lang w:val="es-ES"/>
        </w:rPr>
        <w:t xml:space="preserve">El interés público en las elecciones fue alentado por aquellos que tuvieron a su cargo la prensa periódica guatemalteca. Información sobre las elecciones parroquiales y provinciales, así como los nombres de los representantes electos a Cortes y diputaciones provinciales, aparecieron en la </w:t>
      </w:r>
      <w:proofErr w:type="spellStart"/>
      <w:r w:rsidRPr="001A2532">
        <w:rPr>
          <w:i/>
          <w:lang w:val="es-ES"/>
        </w:rPr>
        <w:t>Gazeta</w:t>
      </w:r>
      <w:proofErr w:type="spellEnd"/>
      <w:r w:rsidRPr="001A2532">
        <w:rPr>
          <w:i/>
          <w:lang w:val="es-ES"/>
        </w:rPr>
        <w:t xml:space="preserve"> de Guatemala</w:t>
      </w:r>
      <w:r w:rsidRPr="001A2532">
        <w:rPr>
          <w:lang w:val="es-ES"/>
        </w:rPr>
        <w:t xml:space="preserve">, órgano oficial del reino, hasta que Fernando VII fue restaurado en el trono en 1814. A partir de 1820, al restablecerse la Constitución, Pedro Molina a través de </w:t>
      </w:r>
      <w:r w:rsidRPr="001A2532">
        <w:rPr>
          <w:i/>
          <w:lang w:val="es-ES"/>
        </w:rPr>
        <w:t>El Editor</w:t>
      </w:r>
      <w:r w:rsidRPr="001C4D3B">
        <w:rPr>
          <w:i/>
          <w:lang w:val="es-ES"/>
        </w:rPr>
        <w:t xml:space="preserve"> </w:t>
      </w:r>
      <w:r w:rsidRPr="001A2532">
        <w:rPr>
          <w:i/>
          <w:lang w:val="es-ES"/>
        </w:rPr>
        <w:t>Constitucional</w:t>
      </w:r>
      <w:r w:rsidRPr="001A2532">
        <w:rPr>
          <w:lang w:val="es-ES"/>
        </w:rPr>
        <w:t xml:space="preserve"> y José Cecilio del Valle por medio de </w:t>
      </w:r>
      <w:r w:rsidRPr="001A2532">
        <w:rPr>
          <w:i/>
          <w:lang w:val="es-ES"/>
        </w:rPr>
        <w:t>El Amigo de la Patria</w:t>
      </w:r>
      <w:r w:rsidRPr="001A2532">
        <w:rPr>
          <w:lang w:val="es-ES"/>
        </w:rPr>
        <w:t xml:space="preserve">, divulgaron el acalorado debate suscitado entre los electores durante las elecciones municipales de la ciudad de Guatemala en 1821. Cuando el </w:t>
      </w:r>
      <w:r w:rsidRPr="001A2532">
        <w:rPr>
          <w:i/>
          <w:lang w:val="es-ES"/>
        </w:rPr>
        <w:t>“</w:t>
      </w:r>
      <w:proofErr w:type="spellStart"/>
      <w:r w:rsidRPr="001A2532">
        <w:rPr>
          <w:i/>
          <w:lang w:val="es-ES"/>
        </w:rPr>
        <w:t>baco</w:t>
      </w:r>
      <w:proofErr w:type="spellEnd"/>
      <w:r w:rsidRPr="001A2532">
        <w:rPr>
          <w:i/>
          <w:lang w:val="es-ES"/>
        </w:rPr>
        <w:t>”</w:t>
      </w:r>
      <w:r w:rsidRPr="001A2532">
        <w:rPr>
          <w:lang w:val="es-ES"/>
        </w:rPr>
        <w:t xml:space="preserve"> del Valle fue elegido alcalde primero de la Ciudad de </w:t>
      </w:r>
      <w:r w:rsidRPr="001A2532">
        <w:rPr>
          <w:lang w:val="es-ES"/>
        </w:rPr>
        <w:lastRenderedPageBreak/>
        <w:t>Guatemala, los periódicos vigorosamente debatieron la legitimidad de este sufragio</w:t>
      </w:r>
      <w:r w:rsidRPr="001A2532">
        <w:rPr>
          <w:rStyle w:val="FootnoteReference"/>
        </w:rPr>
        <w:footnoteReference w:id="49"/>
      </w:r>
      <w:r w:rsidRPr="001A2532">
        <w:rPr>
          <w:lang w:val="es-ES"/>
        </w:rPr>
        <w:t>.</w:t>
      </w:r>
      <w:r w:rsidRPr="001A2532">
        <w:rPr>
          <w:lang w:val="es-ES_tradnl"/>
        </w:rPr>
        <w:t xml:space="preserve"> Esta controversia se prolongó hasta </w:t>
      </w:r>
      <w:r w:rsidRPr="001A2532">
        <w:rPr>
          <w:lang w:val="es-ES"/>
        </w:rPr>
        <w:t xml:space="preserve">después de la independencia, cuando las etiquetas cambiaron de </w:t>
      </w:r>
      <w:r w:rsidRPr="001A2532">
        <w:rPr>
          <w:i/>
          <w:lang w:val="es-ES"/>
        </w:rPr>
        <w:t>cacos</w:t>
      </w:r>
      <w:r w:rsidRPr="001A2532">
        <w:rPr>
          <w:lang w:val="es-ES"/>
        </w:rPr>
        <w:t xml:space="preserve"> (ladrones) a </w:t>
      </w:r>
      <w:r w:rsidRPr="001A2532">
        <w:rPr>
          <w:i/>
          <w:lang w:val="es-ES"/>
        </w:rPr>
        <w:t>fiebres</w:t>
      </w:r>
      <w:r w:rsidRPr="001A2532">
        <w:rPr>
          <w:lang w:val="es-ES"/>
        </w:rPr>
        <w:t xml:space="preserve"> (calentones o cabrones) y liberales, y de </w:t>
      </w:r>
      <w:proofErr w:type="spellStart"/>
      <w:r w:rsidRPr="001A2532">
        <w:rPr>
          <w:i/>
          <w:lang w:val="es-ES"/>
        </w:rPr>
        <w:t>bacos</w:t>
      </w:r>
      <w:proofErr w:type="spellEnd"/>
      <w:r w:rsidRPr="001A2532">
        <w:rPr>
          <w:lang w:val="es-ES"/>
        </w:rPr>
        <w:t xml:space="preserve"> (borrachos) a </w:t>
      </w:r>
      <w:r w:rsidRPr="001A2532">
        <w:rPr>
          <w:i/>
          <w:lang w:val="es-ES"/>
        </w:rPr>
        <w:t>serviles</w:t>
      </w:r>
      <w:r w:rsidRPr="001A2532">
        <w:rPr>
          <w:lang w:val="es-ES"/>
        </w:rPr>
        <w:t xml:space="preserve"> y conservadores</w:t>
      </w:r>
      <w:r w:rsidRPr="001A2532">
        <w:rPr>
          <w:rStyle w:val="FootnoteReference"/>
        </w:rPr>
        <w:footnoteReference w:id="50"/>
      </w:r>
      <w:r w:rsidRPr="001A2532">
        <w:rPr>
          <w:lang w:val="es-ES"/>
        </w:rPr>
        <w:t xml:space="preserve">. La prensa aplicó estos términos para dar color a las políticas y acciones </w:t>
      </w:r>
      <w:r w:rsidR="00254C07">
        <w:rPr>
          <w:lang w:val="es-ES"/>
        </w:rPr>
        <w:t>de</w:t>
      </w:r>
      <w:r w:rsidR="00254C07" w:rsidRPr="001A2532">
        <w:rPr>
          <w:lang w:val="es-ES"/>
        </w:rPr>
        <w:t xml:space="preserve"> </w:t>
      </w:r>
      <w:r w:rsidRPr="001A2532">
        <w:rPr>
          <w:lang w:val="es-ES"/>
        </w:rPr>
        <w:t>los grupos contendientes</w:t>
      </w:r>
      <w:r w:rsidRPr="001A2532">
        <w:rPr>
          <w:rStyle w:val="FootnoteReference"/>
        </w:rPr>
        <w:footnoteReference w:id="51"/>
      </w:r>
      <w:r w:rsidRPr="001A2532">
        <w:rPr>
          <w:lang w:val="es-ES"/>
        </w:rPr>
        <w:t>.</w:t>
      </w:r>
    </w:p>
    <w:p w14:paraId="382159D2" w14:textId="77777777" w:rsidR="00B148E3" w:rsidRDefault="00936C95" w:rsidP="001C4D3B">
      <w:pPr>
        <w:spacing w:line="360" w:lineRule="auto"/>
        <w:ind w:firstLine="284"/>
        <w:jc w:val="both"/>
        <w:rPr>
          <w:lang w:val="es-ES"/>
        </w:rPr>
      </w:pPr>
      <w:r w:rsidRPr="001C4D3B">
        <w:rPr>
          <w:lang w:val="es-ES"/>
        </w:rPr>
        <w:t xml:space="preserve">En resumen, el período de crisis </w:t>
      </w:r>
      <w:r>
        <w:rPr>
          <w:lang w:val="es-ES"/>
        </w:rPr>
        <w:t>de la</w:t>
      </w:r>
      <w:r w:rsidRPr="001C4D3B">
        <w:rPr>
          <w:lang w:val="es-ES"/>
        </w:rPr>
        <w:t xml:space="preserve"> monarquía constitucional española </w:t>
      </w:r>
      <w:r>
        <w:rPr>
          <w:lang w:val="es-ES"/>
        </w:rPr>
        <w:t>expandió la política electoral, así como</w:t>
      </w:r>
      <w:r w:rsidRPr="001C4D3B">
        <w:rPr>
          <w:lang w:val="es-ES"/>
        </w:rPr>
        <w:t xml:space="preserve"> la centralidad munici</w:t>
      </w:r>
      <w:r>
        <w:rPr>
          <w:lang w:val="es-ES"/>
        </w:rPr>
        <w:t>pal dentro del sistema político,</w:t>
      </w:r>
      <w:r w:rsidRPr="001C4D3B">
        <w:rPr>
          <w:lang w:val="es-ES"/>
        </w:rPr>
        <w:t xml:space="preserve"> e introdujo la idea de </w:t>
      </w:r>
      <w:r>
        <w:rPr>
          <w:lang w:val="es-ES"/>
        </w:rPr>
        <w:t xml:space="preserve">la </w:t>
      </w:r>
      <w:r w:rsidRPr="001C4D3B">
        <w:rPr>
          <w:lang w:val="es-ES"/>
        </w:rPr>
        <w:t>participación política basada en int</w:t>
      </w:r>
      <w:r>
        <w:rPr>
          <w:lang w:val="es-ES"/>
        </w:rPr>
        <w:t>ereses compartidos en lugar de, o además de,</w:t>
      </w:r>
      <w:r w:rsidRPr="001C4D3B">
        <w:rPr>
          <w:lang w:val="es-ES"/>
        </w:rPr>
        <w:t xml:space="preserve"> la afiliación étnica. Si bien la Constitución no introdujo el proceso electoral en Centr</w:t>
      </w:r>
      <w:r>
        <w:rPr>
          <w:lang w:val="es-ES"/>
        </w:rPr>
        <w:t>oamérica, expandió los derechos</w:t>
      </w:r>
      <w:r w:rsidRPr="001C4D3B">
        <w:rPr>
          <w:lang w:val="es-ES"/>
        </w:rPr>
        <w:t xml:space="preserve"> </w:t>
      </w:r>
      <w:r>
        <w:rPr>
          <w:lang w:val="es-ES"/>
        </w:rPr>
        <w:t xml:space="preserve">de ciudadanía </w:t>
      </w:r>
      <w:r w:rsidRPr="001C4D3B">
        <w:rPr>
          <w:lang w:val="es-ES"/>
        </w:rPr>
        <w:t>más allá de unos pocos miembros selectos de ayuntamientos o gremios</w:t>
      </w:r>
      <w:r>
        <w:rPr>
          <w:lang w:val="es-ES"/>
        </w:rPr>
        <w:t>.</w:t>
      </w:r>
    </w:p>
    <w:p w14:paraId="727F98AA" w14:textId="148590B0" w:rsidR="00936C95" w:rsidRPr="001C4D3B" w:rsidRDefault="00936C95" w:rsidP="001C4D3B">
      <w:pPr>
        <w:spacing w:line="360" w:lineRule="auto"/>
        <w:ind w:firstLine="284"/>
        <w:jc w:val="both"/>
        <w:rPr>
          <w:lang w:val="es-ES"/>
        </w:rPr>
      </w:pPr>
      <w:r w:rsidRPr="00B148E3">
        <w:rPr>
          <w:lang w:val="es-ES"/>
        </w:rPr>
        <w:t xml:space="preserve">Y, a pesar de sus defectos, el sistema incrustó las raíces en este periodo que permitieron extender el sufragio mas allá de la limitada participación política de </w:t>
      </w:r>
      <w:r w:rsidR="00E45818">
        <w:rPr>
          <w:lang w:val="es-ES"/>
        </w:rPr>
        <w:t xml:space="preserve">los </w:t>
      </w:r>
      <w:proofErr w:type="spellStart"/>
      <w:r w:rsidR="00E45818">
        <w:rPr>
          <w:lang w:val="es-ES"/>
        </w:rPr>
        <w:t>sigos</w:t>
      </w:r>
      <w:proofErr w:type="spellEnd"/>
      <w:r w:rsidRPr="00B148E3">
        <w:rPr>
          <w:lang w:val="es-ES"/>
        </w:rPr>
        <w:t xml:space="preserve"> anteriores, especialmente a las personas de ascendencia africana no incluidas en los documentos imperiales, mostrando una considerable voluntad para adaptar la política</w:t>
      </w:r>
      <w:r w:rsidR="00B148E3">
        <w:rPr>
          <w:lang w:val="es-ES"/>
        </w:rPr>
        <w:t xml:space="preserve"> oficial a las demandas locales;</w:t>
      </w:r>
      <w:r w:rsidRPr="00B148E3">
        <w:rPr>
          <w:lang w:val="es-ES"/>
        </w:rPr>
        <w:t xml:space="preserve"> </w:t>
      </w:r>
      <w:r w:rsidR="00B148E3">
        <w:rPr>
          <w:lang w:val="es-ES"/>
        </w:rPr>
        <w:t xml:space="preserve">todo </w:t>
      </w:r>
      <w:r w:rsidRPr="00B148E3">
        <w:rPr>
          <w:lang w:val="es-ES"/>
        </w:rPr>
        <w:t xml:space="preserve">un buen auspicio para la </w:t>
      </w:r>
      <w:proofErr w:type="spellStart"/>
      <w:r w:rsidRPr="00B148E3">
        <w:rPr>
          <w:lang w:val="es-ES"/>
        </w:rPr>
        <w:t>inclusividad</w:t>
      </w:r>
      <w:proofErr w:type="spellEnd"/>
      <w:r w:rsidRPr="00B148E3">
        <w:rPr>
          <w:lang w:val="es-ES"/>
        </w:rPr>
        <w:t xml:space="preserve"> étnica pero que, a la vez, dejó entrever las futuras dificultades en la implementación de una ley que luego socavarían las instituciones constitucionales. En cuanto a los precedentes para sistemas electorales posteriores, se deben enfatizar que el engorroso proceso electoral indirecto para elegir diputados de Cortes y de diputaciones provinciales tuvo un resultado poco considerado pero duradero: los ciudadanos que votaban en sus municipios de origen siguiendo el sistema electoral indirecto establecido en 1812 perdieron el derecho de votar directamente por las figuras regionales y nacionales que tenían en 1809. El sistema fortaleció la centralidad y legitimidad política de las autoridades municipales y legislativas que los electores seleccionaron,</w:t>
      </w:r>
      <w:r w:rsidRPr="00B148E3">
        <w:rPr>
          <w:b/>
          <w:lang w:val="es-ES"/>
        </w:rPr>
        <w:t xml:space="preserve"> </w:t>
      </w:r>
      <w:r w:rsidRPr="00B148E3">
        <w:rPr>
          <w:lang w:val="es-ES"/>
        </w:rPr>
        <w:t>mientras que el rey y sus consejos nombraba los puestos ejecutivos y judiciales. También extendió el proceso de consulta y petición, por parte de individuos y comunidades, a las diputaciones provinciales para resolver dudas o problemas administrativ</w:t>
      </w:r>
      <w:r w:rsidR="000E32C6">
        <w:rPr>
          <w:lang w:val="es-ES"/>
        </w:rPr>
        <w:t>o</w:t>
      </w:r>
      <w:r w:rsidRPr="00B148E3">
        <w:rPr>
          <w:lang w:val="es-ES"/>
        </w:rPr>
        <w:t>s.</w:t>
      </w:r>
      <w:r>
        <w:rPr>
          <w:b/>
          <w:lang w:val="es-ES"/>
        </w:rPr>
        <w:t xml:space="preserve"> </w:t>
      </w:r>
    </w:p>
    <w:p w14:paraId="2410A79F" w14:textId="77777777" w:rsidR="00936C95" w:rsidRPr="001C4D3B" w:rsidRDefault="00936C95" w:rsidP="001C4D3B">
      <w:pPr>
        <w:spacing w:line="360" w:lineRule="auto"/>
        <w:ind w:firstLine="284"/>
        <w:jc w:val="both"/>
        <w:rPr>
          <w:lang w:val="es-ES"/>
        </w:rPr>
      </w:pPr>
    </w:p>
    <w:p w14:paraId="2DFB4DF6" w14:textId="77777777" w:rsidR="00936C95" w:rsidRPr="001C4D3B" w:rsidRDefault="00936C95" w:rsidP="001C4D3B">
      <w:pPr>
        <w:spacing w:line="360" w:lineRule="auto"/>
        <w:jc w:val="both"/>
        <w:rPr>
          <w:b/>
          <w:bCs/>
          <w:lang w:val="es-ES"/>
        </w:rPr>
      </w:pPr>
      <w:r w:rsidRPr="001C4D3B">
        <w:rPr>
          <w:b/>
          <w:bCs/>
          <w:lang w:val="es-ES"/>
        </w:rPr>
        <w:t>Eligiendo la Independencia</w:t>
      </w:r>
    </w:p>
    <w:p w14:paraId="1CEAAFFC" w14:textId="77777777" w:rsidR="00936C95" w:rsidRPr="001C4D3B" w:rsidRDefault="00936C95" w:rsidP="001C4D3B">
      <w:pPr>
        <w:spacing w:line="360" w:lineRule="auto"/>
        <w:ind w:firstLine="284"/>
        <w:jc w:val="both"/>
        <w:rPr>
          <w:lang w:val="es-ES"/>
        </w:rPr>
      </w:pPr>
    </w:p>
    <w:p w14:paraId="726E1350" w14:textId="77777777" w:rsidR="00936C95" w:rsidRPr="001C4D3B" w:rsidRDefault="00936C95" w:rsidP="001C4D3B">
      <w:pPr>
        <w:spacing w:line="360" w:lineRule="auto"/>
        <w:ind w:firstLine="284"/>
        <w:jc w:val="both"/>
        <w:rPr>
          <w:lang w:val="es-ES"/>
        </w:rPr>
      </w:pPr>
      <w:r w:rsidRPr="00045E81">
        <w:rPr>
          <w:lang w:val="es-ES"/>
        </w:rPr>
        <w:lastRenderedPageBreak/>
        <w:t>En el proceso de independencia de 1821-1822, la articulación de la preferencia u opinión política adoptó dos formas distintas: los votos expresados por los ayuntamientos constitucionales elegidos después de las reuniones abiertas, y los llamamientos a las personas para que deliberen y tomen decisiones en una asamblea regional. Al llegar las noticias de la independencia novohispana y del Plan de Tres Garantías a</w:t>
      </w:r>
      <w:r w:rsidRPr="001C4D3B">
        <w:rPr>
          <w:lang w:val="es-ES"/>
        </w:rPr>
        <w:t xml:space="preserve"> diferentes distritos, los ayuntamientos </w:t>
      </w:r>
      <w:r w:rsidRPr="00045E81">
        <w:rPr>
          <w:lang w:val="es-ES"/>
        </w:rPr>
        <w:t>centroamericanos convocaron a cabildos abiertos para deliberar el asunto, empezando en Chiapas en agosto de 1821, continuando en septiembre en la capital, Ciudad de Guatemala y, finalmente, llegando en octubre a Costa Rica. En Ciudad de Guatemala, el 15 de septiembre de 1821 la junta integrada por las autoridades reales y las élites locales, convocó una reunión de "diputados" de</w:t>
      </w:r>
      <w:r w:rsidRPr="001C4D3B">
        <w:rPr>
          <w:lang w:val="es-ES"/>
        </w:rPr>
        <w:t xml:space="preserve"> las principales instituciones seculares </w:t>
      </w:r>
      <w:r w:rsidRPr="00045E81">
        <w:rPr>
          <w:lang w:val="es-ES"/>
        </w:rPr>
        <w:t>y religiosas, y en la misma se emitió</w:t>
      </w:r>
      <w:r w:rsidRPr="001C4D3B">
        <w:rPr>
          <w:lang w:val="es-ES"/>
        </w:rPr>
        <w:t xml:space="preserve"> un acuerdo, o acto, redactado por la Diputación Provincial y el ayuntamiento. El documento, cons</w:t>
      </w:r>
      <w:r>
        <w:rPr>
          <w:lang w:val="es-ES"/>
        </w:rPr>
        <w:t xml:space="preserve">iderado </w:t>
      </w:r>
      <w:r w:rsidRPr="00045E81">
        <w:rPr>
          <w:lang w:val="es-ES"/>
        </w:rPr>
        <w:t>posteriormente como el acta de independencia</w:t>
      </w:r>
      <w:r w:rsidRPr="001C4D3B">
        <w:rPr>
          <w:lang w:val="es-ES"/>
        </w:rPr>
        <w:t xml:space="preserve">, expresó </w:t>
      </w:r>
      <w:r w:rsidRPr="00045E81">
        <w:rPr>
          <w:lang w:val="es-ES"/>
        </w:rPr>
        <w:t>una preferencia gradual por la independencia. Se mantuvo a las autoridades existentes, se convirtió a la diputación provincial en Consejo de Gobierno interino y se convocó a cada distrito del Reino a que enviaran representantes para votar la independencia en una asamblea regional y para seleccionar un nuevo gobierno. Así, un cuerpo deliberativo o soberano tradicional, el cabildo abierto, convocó a una institución republicana, una asamblea constituyente con delegados de los distritos políticos istmeños, dando un paso hacia el reemplazo de las múltiples soberanías, en las que las ciudades o distritos poseían fracciones del conjunto, por una soberanía y represen</w:t>
      </w:r>
      <w:r>
        <w:rPr>
          <w:lang w:val="es-ES"/>
        </w:rPr>
        <w:t>tación unitaria</w:t>
      </w:r>
      <w:r w:rsidRPr="001C4D3B">
        <w:rPr>
          <w:lang w:val="es-ES"/>
        </w:rPr>
        <w:t xml:space="preserve"> </w:t>
      </w:r>
      <w:r>
        <w:rPr>
          <w:lang w:val="es-ES"/>
        </w:rPr>
        <w:t>gobernada</w:t>
      </w:r>
      <w:r w:rsidRPr="001C4D3B">
        <w:rPr>
          <w:lang w:val="es-ES"/>
        </w:rPr>
        <w:t xml:space="preserve"> únicamente por</w:t>
      </w:r>
      <w:r>
        <w:rPr>
          <w:lang w:val="es-ES"/>
        </w:rPr>
        <w:t xml:space="preserve"> una asamblea</w:t>
      </w:r>
      <w:r w:rsidRPr="001C4D3B">
        <w:rPr>
          <w:lang w:val="es-ES"/>
        </w:rPr>
        <w:t>.</w:t>
      </w:r>
    </w:p>
    <w:p w14:paraId="03E7C9D2" w14:textId="0876DD47" w:rsidR="00936C95" w:rsidRPr="001C4D3B" w:rsidRDefault="00936C95" w:rsidP="001C4D3B">
      <w:pPr>
        <w:spacing w:line="360" w:lineRule="auto"/>
        <w:ind w:firstLine="284"/>
        <w:jc w:val="both"/>
        <w:rPr>
          <w:lang w:val="es-ES"/>
        </w:rPr>
      </w:pPr>
      <w:r w:rsidRPr="001C4D3B">
        <w:rPr>
          <w:lang w:val="es-ES"/>
        </w:rPr>
        <w:t xml:space="preserve">Sin embargo, la iniciativa guatemalteca no produjo los resultados deseados. En lugar de coordinar esfuerzos en elegir diputados para una asamblea constituyente, muchos municipios y </w:t>
      </w:r>
      <w:r>
        <w:rPr>
          <w:lang w:val="es-ES"/>
        </w:rPr>
        <w:t>la Diputación P</w:t>
      </w:r>
      <w:r w:rsidRPr="001C4D3B">
        <w:rPr>
          <w:lang w:val="es-ES"/>
        </w:rPr>
        <w:t>rovincial nicaragüense emitieron sus propias actas para unirse por separado con México o con Guatemala. Las ciudades de Costa Rica, divididas entre invitaciones rivales de Guatemala y Nicaragua, tuvieron</w:t>
      </w:r>
      <w:r>
        <w:rPr>
          <w:lang w:val="es-ES"/>
        </w:rPr>
        <w:t xml:space="preserve"> la previsión de firmar </w:t>
      </w:r>
      <w:r w:rsidRPr="00045E81">
        <w:rPr>
          <w:lang w:val="es-ES"/>
        </w:rPr>
        <w:t xml:space="preserve">un acuerdo </w:t>
      </w:r>
      <w:r>
        <w:rPr>
          <w:lang w:val="es-ES"/>
        </w:rPr>
        <w:t>“</w:t>
      </w:r>
      <w:r w:rsidRPr="001C4D3B">
        <w:rPr>
          <w:lang w:val="es-ES"/>
        </w:rPr>
        <w:t xml:space="preserve">de </w:t>
      </w:r>
      <w:r>
        <w:rPr>
          <w:lang w:val="es-ES"/>
        </w:rPr>
        <w:t>concordia” para</w:t>
      </w:r>
      <w:r w:rsidRPr="001C4D3B">
        <w:rPr>
          <w:lang w:val="es-ES"/>
        </w:rPr>
        <w:t xml:space="preserve"> restablecer su pacto social y comprometerse con una soberanía e identidad provinciales. En este caso, las corporaciones tradicionales, los ayuntamientos, eligieron delegados para firmar el acuerdo, combinando formas antiguas y nuevas de conocimiento político. A través de las actas de ciudades, </w:t>
      </w:r>
      <w:r>
        <w:rPr>
          <w:lang w:val="es-ES"/>
        </w:rPr>
        <w:t xml:space="preserve">de </w:t>
      </w:r>
      <w:r w:rsidRPr="001C4D3B">
        <w:rPr>
          <w:lang w:val="es-ES"/>
        </w:rPr>
        <w:t xml:space="preserve">diputaciones </w:t>
      </w:r>
      <w:r w:rsidRPr="00045E81">
        <w:rPr>
          <w:lang w:val="es-ES"/>
        </w:rPr>
        <w:t>provinciales y de cabildos abiertos, hubo extensa participación popular en la toma de decisiones. A pesar de ello, no actuaron como si una soberanía única podría formarse para dictar acuerdos</w:t>
      </w:r>
      <w:r w:rsidRPr="001C4D3B">
        <w:rPr>
          <w:lang w:val="es-ES"/>
        </w:rPr>
        <w:t xml:space="preserve"> en nombre de todos los distritos y residentes de América Central.</w:t>
      </w:r>
    </w:p>
    <w:p w14:paraId="6E36242D" w14:textId="77777777" w:rsidR="00936C95" w:rsidRPr="001C4D3B" w:rsidRDefault="00936C95" w:rsidP="001C4D3B">
      <w:pPr>
        <w:spacing w:line="360" w:lineRule="auto"/>
        <w:ind w:firstLine="284"/>
        <w:jc w:val="both"/>
        <w:rPr>
          <w:lang w:val="es-ES"/>
        </w:rPr>
      </w:pPr>
      <w:r w:rsidRPr="001C4D3B">
        <w:rPr>
          <w:lang w:val="es-ES"/>
        </w:rPr>
        <w:lastRenderedPageBreak/>
        <w:t xml:space="preserve">Para mantener una apariencia de unidad, en noviembre de 1821, la junta de la Ciudad de Guatemala abandonó la esperanza de reunir </w:t>
      </w:r>
      <w:r>
        <w:rPr>
          <w:lang w:val="es-ES"/>
        </w:rPr>
        <w:t>una asamblea constituyente</w:t>
      </w:r>
      <w:r w:rsidRPr="001C4D3B">
        <w:rPr>
          <w:lang w:val="es-ES"/>
        </w:rPr>
        <w:t xml:space="preserve"> y</w:t>
      </w:r>
      <w:r w:rsidRPr="00045E81">
        <w:rPr>
          <w:lang w:val="es-ES"/>
        </w:rPr>
        <w:t>, en su lugar, convocó</w:t>
      </w:r>
      <w:r w:rsidRPr="001C4D3B">
        <w:rPr>
          <w:lang w:val="es-ES"/>
        </w:rPr>
        <w:t xml:space="preserve"> a un referéndum municipal para decidir el futuro de la </w:t>
      </w:r>
      <w:r>
        <w:rPr>
          <w:lang w:val="es-ES"/>
        </w:rPr>
        <w:t>A</w:t>
      </w:r>
      <w:r w:rsidRPr="001C4D3B">
        <w:rPr>
          <w:lang w:val="es-ES"/>
        </w:rPr>
        <w:t>udiencia. La junta invitó no solo a las capitales, sino a todas las ciudades y pueblos con ayuntamiento constitucional a participar después de consultar la voluntad de los res</w:t>
      </w:r>
      <w:r>
        <w:rPr>
          <w:lang w:val="es-ES"/>
        </w:rPr>
        <w:t>identes</w:t>
      </w:r>
      <w:r w:rsidRPr="00045E81">
        <w:rPr>
          <w:lang w:val="es-ES"/>
        </w:rPr>
        <w:t>. La junta luego de contar los votos recibidos, 168 de 244, y también interpretar las decisiones de las provincias que ya habían optado por unirse a México como parte de un proceso unitario, acordó el 5 de enero de 1822 dar un voto mayoritario por la unión con México</w:t>
      </w:r>
      <w:r w:rsidRPr="00045E81">
        <w:rPr>
          <w:rStyle w:val="FootnoteReference"/>
        </w:rPr>
        <w:footnoteReference w:id="52"/>
      </w:r>
      <w:r w:rsidRPr="00045E81">
        <w:rPr>
          <w:lang w:val="es-ES"/>
        </w:rPr>
        <w:t>.</w:t>
      </w:r>
    </w:p>
    <w:p w14:paraId="2E16B69A" w14:textId="01841CF0" w:rsidR="00936C95" w:rsidRPr="001C4D3B" w:rsidRDefault="00936C95" w:rsidP="001C4D3B">
      <w:pPr>
        <w:spacing w:line="360" w:lineRule="auto"/>
        <w:ind w:firstLine="284"/>
        <w:jc w:val="both"/>
        <w:rPr>
          <w:lang w:val="es-ES"/>
        </w:rPr>
      </w:pPr>
      <w:r w:rsidRPr="00045E81">
        <w:rPr>
          <w:lang w:val="es-ES"/>
        </w:rPr>
        <w:t xml:space="preserve">Habida cuenta de que tradicionalmente se asocia la participación "popular" con personas que expresan sus opciones a través del sufragio, llama la atención </w:t>
      </w:r>
      <w:r w:rsidR="000E32C6">
        <w:rPr>
          <w:lang w:val="es-ES"/>
        </w:rPr>
        <w:t xml:space="preserve">que </w:t>
      </w:r>
      <w:r w:rsidRPr="00045E81">
        <w:rPr>
          <w:lang w:val="es-ES"/>
        </w:rPr>
        <w:t xml:space="preserve">esta dependencia </w:t>
      </w:r>
      <w:r w:rsidR="000E32C6">
        <w:rPr>
          <w:lang w:val="es-ES"/>
        </w:rPr>
        <w:t>en</w:t>
      </w:r>
      <w:r w:rsidRPr="00045E81">
        <w:rPr>
          <w:lang w:val="es-ES"/>
        </w:rPr>
        <w:t xml:space="preserve"> las municipalidades como órganos de adopción de decisiones </w:t>
      </w:r>
      <w:r w:rsidR="000E32C6">
        <w:rPr>
          <w:lang w:val="es-ES"/>
        </w:rPr>
        <w:t>resultara</w:t>
      </w:r>
      <w:r w:rsidR="000E32C6" w:rsidRPr="00045E81">
        <w:rPr>
          <w:lang w:val="es-ES"/>
        </w:rPr>
        <w:t xml:space="preserve"> </w:t>
      </w:r>
      <w:r w:rsidRPr="00045E81">
        <w:rPr>
          <w:lang w:val="es-ES"/>
        </w:rPr>
        <w:t xml:space="preserve">problemática aunque las municipalidades consultadas fueran elegidas popularmente y no sólo fueran </w:t>
      </w:r>
      <w:r w:rsidR="000E32C6">
        <w:rPr>
          <w:lang w:val="es-ES"/>
        </w:rPr>
        <w:t xml:space="preserve">las </w:t>
      </w:r>
      <w:r w:rsidRPr="00045E81">
        <w:rPr>
          <w:lang w:val="es-ES"/>
        </w:rPr>
        <w:t>capitales controladas por las élites sino también ciudades y aldeas provinciales.</w:t>
      </w:r>
      <w:r>
        <w:rPr>
          <w:rStyle w:val="FootnoteReference"/>
          <w:lang w:val="es-ES"/>
        </w:rPr>
        <w:footnoteReference w:id="53"/>
      </w:r>
      <w:r w:rsidRPr="00045E81">
        <w:rPr>
          <w:lang w:val="es-ES"/>
        </w:rPr>
        <w:t xml:space="preserve"> Hacia 1834, el político</w:t>
      </w:r>
      <w:r w:rsidRPr="001C4D3B">
        <w:rPr>
          <w:lang w:val="es-ES"/>
        </w:rPr>
        <w:t xml:space="preserve"> e historiador oficial Alejandro </w:t>
      </w:r>
      <w:proofErr w:type="spellStart"/>
      <w:r w:rsidRPr="001C4D3B">
        <w:rPr>
          <w:lang w:val="es-ES"/>
        </w:rPr>
        <w:t>Marure</w:t>
      </w:r>
      <w:proofErr w:type="spellEnd"/>
      <w:r w:rsidRPr="001C4D3B">
        <w:rPr>
          <w:lang w:val="es-ES"/>
        </w:rPr>
        <w:t xml:space="preserve"> desestimó el referéndum, re</w:t>
      </w:r>
      <w:r>
        <w:rPr>
          <w:lang w:val="es-ES"/>
        </w:rPr>
        <w:t>cordando a los lectores que el Capitán G</w:t>
      </w:r>
      <w:r w:rsidRPr="001C4D3B">
        <w:rPr>
          <w:lang w:val="es-ES"/>
        </w:rPr>
        <w:t>eneral en funciones había d</w:t>
      </w:r>
      <w:r>
        <w:rPr>
          <w:lang w:val="es-ES"/>
        </w:rPr>
        <w:t>icho a las regiones secesionistas</w:t>
      </w:r>
      <w:r w:rsidRPr="001C4D3B">
        <w:rPr>
          <w:lang w:val="es-ES"/>
        </w:rPr>
        <w:t xml:space="preserve"> que los ayuntamientos no tenían autoridad para decidir y que la "voluntad [general de los pueblos] </w:t>
      </w:r>
      <w:r>
        <w:rPr>
          <w:lang w:val="es-ES"/>
        </w:rPr>
        <w:t>solo podía</w:t>
      </w:r>
      <w:r w:rsidRPr="001C4D3B">
        <w:rPr>
          <w:lang w:val="es-ES"/>
        </w:rPr>
        <w:t xml:space="preserve"> expresarse por un congreso formado de diputados elegidos por los mismos pueblos"</w:t>
      </w:r>
      <w:r w:rsidRPr="001C4D3B">
        <w:rPr>
          <w:rStyle w:val="FootnoteReference"/>
        </w:rPr>
        <w:footnoteReference w:id="54"/>
      </w:r>
      <w:r>
        <w:rPr>
          <w:lang w:val="es-ES"/>
        </w:rPr>
        <w:t>.</w:t>
      </w:r>
      <w:r w:rsidRPr="001C4D3B">
        <w:rPr>
          <w:lang w:val="es-ES_tradnl"/>
        </w:rPr>
        <w:t xml:space="preserve"> </w:t>
      </w:r>
      <w:r w:rsidRPr="001C4D3B">
        <w:rPr>
          <w:lang w:val="es-ES"/>
        </w:rPr>
        <w:t xml:space="preserve"> Sin embargo, otra forma de evaluar el complejo proceso de independencia de Centroamérica es considerar que la votación municipal abrió el debate a más de doscientas comunidades, no so</w:t>
      </w:r>
      <w:r>
        <w:rPr>
          <w:lang w:val="es-ES"/>
        </w:rPr>
        <w:t>lo para seleccionar un</w:t>
      </w:r>
      <w:r w:rsidRPr="001C4D3B">
        <w:rPr>
          <w:lang w:val="es-ES"/>
        </w:rPr>
        <w:t xml:space="preserve"> notable </w:t>
      </w:r>
      <w:r>
        <w:rPr>
          <w:lang w:val="es-ES"/>
        </w:rPr>
        <w:t xml:space="preserve">local </w:t>
      </w:r>
      <w:r w:rsidRPr="001C4D3B">
        <w:rPr>
          <w:lang w:val="es-ES"/>
        </w:rPr>
        <w:t>p</w:t>
      </w:r>
      <w:r>
        <w:rPr>
          <w:lang w:val="es-ES"/>
        </w:rPr>
        <w:t>ara negociar los próximos pasos</w:t>
      </w:r>
      <w:r w:rsidRPr="001C4D3B">
        <w:rPr>
          <w:lang w:val="es-ES"/>
        </w:rPr>
        <w:t xml:space="preserve"> sino</w:t>
      </w:r>
      <w:r>
        <w:rPr>
          <w:lang w:val="es-ES"/>
        </w:rPr>
        <w:t xml:space="preserve">, </w:t>
      </w:r>
      <w:r w:rsidRPr="00045E81">
        <w:rPr>
          <w:lang w:val="es-ES"/>
        </w:rPr>
        <w:t xml:space="preserve">también, para incorporar directamente a los electores y residentes en el asunto de decidir la forma </w:t>
      </w:r>
      <w:r w:rsidR="000E32C6">
        <w:rPr>
          <w:lang w:val="es-ES"/>
        </w:rPr>
        <w:t>de</w:t>
      </w:r>
      <w:r w:rsidRPr="00045E81">
        <w:rPr>
          <w:lang w:val="es-ES"/>
        </w:rPr>
        <w:t xml:space="preserve"> independencia, basándose </w:t>
      </w:r>
      <w:r w:rsidR="000E32C6">
        <w:rPr>
          <w:lang w:val="es-ES"/>
        </w:rPr>
        <w:t xml:space="preserve">tanto </w:t>
      </w:r>
      <w:r w:rsidRPr="00045E81">
        <w:rPr>
          <w:lang w:val="es-ES"/>
        </w:rPr>
        <w:t>en la tradición como en las nuevas instituciones representativas creadas por la Constitución de 1812.  Se puede decir que los pueblos centroamericanos eligieron su independencia de España optando por su dependencia del ex virreinato de Nueva España.</w:t>
      </w:r>
    </w:p>
    <w:p w14:paraId="38680D49" w14:textId="77777777" w:rsidR="00936C95" w:rsidRDefault="00936C95" w:rsidP="00AE0705">
      <w:pPr>
        <w:spacing w:line="360" w:lineRule="auto"/>
        <w:jc w:val="both"/>
        <w:rPr>
          <w:b/>
          <w:lang w:val="es-ES"/>
        </w:rPr>
      </w:pPr>
    </w:p>
    <w:p w14:paraId="0AD26D1C" w14:textId="77777777" w:rsidR="00936C95" w:rsidRPr="001C4D3B" w:rsidRDefault="00936C95" w:rsidP="00AE0705">
      <w:pPr>
        <w:spacing w:line="360" w:lineRule="auto"/>
        <w:jc w:val="both"/>
        <w:rPr>
          <w:b/>
          <w:lang w:val="es-ES"/>
        </w:rPr>
      </w:pPr>
      <w:r w:rsidRPr="001C4D3B">
        <w:rPr>
          <w:b/>
          <w:lang w:val="es-ES"/>
        </w:rPr>
        <w:t>Elecciones en un sistema federal</w:t>
      </w:r>
    </w:p>
    <w:p w14:paraId="45B07881" w14:textId="77777777" w:rsidR="00936C95" w:rsidRPr="001C4D3B" w:rsidRDefault="00936C95" w:rsidP="001C4D3B">
      <w:pPr>
        <w:spacing w:line="360" w:lineRule="auto"/>
        <w:ind w:firstLine="284"/>
        <w:jc w:val="both"/>
        <w:rPr>
          <w:b/>
          <w:lang w:val="es-ES"/>
        </w:rPr>
      </w:pPr>
    </w:p>
    <w:p w14:paraId="1E0BC295" w14:textId="630C5AF2" w:rsidR="00936C95" w:rsidRPr="00045E81" w:rsidRDefault="00936C95" w:rsidP="001C4D3B">
      <w:pPr>
        <w:spacing w:line="360" w:lineRule="auto"/>
        <w:ind w:firstLine="284"/>
        <w:jc w:val="both"/>
        <w:rPr>
          <w:color w:val="000000" w:themeColor="text1"/>
          <w:lang w:val="es-ES"/>
        </w:rPr>
      </w:pPr>
      <w:r w:rsidRPr="00B148E3">
        <w:rPr>
          <w:lang w:val="es-ES"/>
        </w:rPr>
        <w:lastRenderedPageBreak/>
        <w:t>Después de una efímera anexión a México</w:t>
      </w:r>
      <w:r>
        <w:rPr>
          <w:lang w:val="es-ES"/>
        </w:rPr>
        <w:t xml:space="preserve"> e</w:t>
      </w:r>
      <w:r w:rsidRPr="001C4D3B">
        <w:rPr>
          <w:lang w:val="es-ES"/>
        </w:rPr>
        <w:t xml:space="preserve">n 1823, </w:t>
      </w:r>
      <w:r>
        <w:rPr>
          <w:lang w:val="es-ES"/>
        </w:rPr>
        <w:t>unos</w:t>
      </w:r>
      <w:r w:rsidRPr="001C4D3B">
        <w:rPr>
          <w:lang w:val="es-ES"/>
        </w:rPr>
        <w:t xml:space="preserve"> 40 diputados centroamericanos </w:t>
      </w:r>
      <w:r w:rsidRPr="00045E81">
        <w:rPr>
          <w:lang w:val="es-ES"/>
        </w:rPr>
        <w:t>volvían</w:t>
      </w:r>
      <w:r w:rsidRPr="00F92837">
        <w:rPr>
          <w:lang w:val="es-ES"/>
        </w:rPr>
        <w:t xml:space="preserve"> </w:t>
      </w:r>
      <w:r w:rsidRPr="00045E81">
        <w:rPr>
          <w:lang w:val="es-ES"/>
        </w:rPr>
        <w:t xml:space="preserve">a casa </w:t>
      </w:r>
      <w:r>
        <w:rPr>
          <w:lang w:val="es-ES"/>
        </w:rPr>
        <w:t xml:space="preserve">del congreso mexicano </w:t>
      </w:r>
      <w:r w:rsidRPr="00045E81">
        <w:rPr>
          <w:lang w:val="es-ES"/>
        </w:rPr>
        <w:t>trayendo consigo una experiencia parlamentaria mayo</w:t>
      </w:r>
      <w:r>
        <w:rPr>
          <w:lang w:val="es-ES"/>
        </w:rPr>
        <w:t>r y</w:t>
      </w:r>
      <w:r w:rsidRPr="00045E81">
        <w:rPr>
          <w:lang w:val="es-ES"/>
        </w:rPr>
        <w:t xml:space="preserve">, </w:t>
      </w:r>
      <w:r>
        <w:rPr>
          <w:lang w:val="es-ES"/>
        </w:rPr>
        <w:t>varios de ellos fueron inmediatamente elegidos a la Asamblea Nacional Constituyente</w:t>
      </w:r>
      <w:r w:rsidR="000E32C6">
        <w:rPr>
          <w:lang w:val="es-ES"/>
        </w:rPr>
        <w:t>.</w:t>
      </w:r>
      <w:r>
        <w:rPr>
          <w:lang w:val="es-ES"/>
        </w:rPr>
        <w:t xml:space="preserve"> </w:t>
      </w:r>
      <w:r w:rsidR="000E32C6">
        <w:rPr>
          <w:lang w:val="es-ES"/>
        </w:rPr>
        <w:t>O</w:t>
      </w:r>
      <w:r>
        <w:rPr>
          <w:lang w:val="es-ES"/>
        </w:rPr>
        <w:t xml:space="preserve"> sea</w:t>
      </w:r>
      <w:r w:rsidR="000E32C6">
        <w:rPr>
          <w:lang w:val="es-ES"/>
        </w:rPr>
        <w:t>,</w:t>
      </w:r>
      <w:r>
        <w:rPr>
          <w:lang w:val="es-ES"/>
        </w:rPr>
        <w:t xml:space="preserve"> el congreso esperado desde el 15 de septiembre de 1821, que se reunió en C</w:t>
      </w:r>
      <w:r w:rsidRPr="001C4D3B">
        <w:rPr>
          <w:lang w:val="es-ES"/>
        </w:rPr>
        <w:t>iudad de Guatemala a mediados de 1823</w:t>
      </w:r>
      <w:r>
        <w:rPr>
          <w:lang w:val="es-ES"/>
        </w:rPr>
        <w:t xml:space="preserve">, </w:t>
      </w:r>
      <w:r w:rsidRPr="001C4D3B">
        <w:rPr>
          <w:lang w:val="es-ES"/>
        </w:rPr>
        <w:t>declaró la independencia absoluta de España y México</w:t>
      </w:r>
      <w:r>
        <w:rPr>
          <w:lang w:val="es-ES"/>
        </w:rPr>
        <w:t xml:space="preserve"> y</w:t>
      </w:r>
      <w:r w:rsidRPr="001C4D3B">
        <w:rPr>
          <w:lang w:val="es-ES"/>
        </w:rPr>
        <w:t xml:space="preserve"> </w:t>
      </w:r>
      <w:r>
        <w:rPr>
          <w:lang w:val="es-ES"/>
        </w:rPr>
        <w:t>deliberó la formación</w:t>
      </w:r>
      <w:r w:rsidRPr="001C4D3B">
        <w:rPr>
          <w:lang w:val="es-ES"/>
        </w:rPr>
        <w:t xml:space="preserve"> de una federación con cinco estados: Guatemala, Honduras, El Salvador, Nicaragua y Costa Rica. </w:t>
      </w:r>
      <w:r>
        <w:rPr>
          <w:color w:val="000000" w:themeColor="text1"/>
          <w:lang w:val="es-ES"/>
        </w:rPr>
        <w:t>Al conseguir</w:t>
      </w:r>
      <w:r w:rsidRPr="00045E81">
        <w:rPr>
          <w:color w:val="000000" w:themeColor="text1"/>
          <w:lang w:val="es-ES"/>
        </w:rPr>
        <w:t xml:space="preserve"> la independencia absoluta, el desafío</w:t>
      </w:r>
      <w:r>
        <w:rPr>
          <w:color w:val="000000" w:themeColor="text1"/>
          <w:lang w:val="es-ES"/>
        </w:rPr>
        <w:t xml:space="preserve"> centroamericano</w:t>
      </w:r>
      <w:r w:rsidRPr="00045E81">
        <w:rPr>
          <w:color w:val="000000" w:themeColor="text1"/>
          <w:lang w:val="es-ES"/>
        </w:rPr>
        <w:t xml:space="preserve"> en erigir un gobierno asentado en la soberanía popular no fue tanto escoger entre </w:t>
      </w:r>
      <w:r>
        <w:rPr>
          <w:color w:val="000000" w:themeColor="text1"/>
          <w:lang w:val="es-ES"/>
        </w:rPr>
        <w:t>los</w:t>
      </w:r>
      <w:r w:rsidRPr="00045E81">
        <w:rPr>
          <w:color w:val="000000" w:themeColor="text1"/>
          <w:lang w:val="es-ES"/>
        </w:rPr>
        <w:t xml:space="preserve"> sistemas de gobierno </w:t>
      </w:r>
      <w:r>
        <w:rPr>
          <w:color w:val="000000" w:themeColor="text1"/>
          <w:lang w:val="es-ES"/>
        </w:rPr>
        <w:t xml:space="preserve">monárquico y republicano.  </w:t>
      </w:r>
      <w:r w:rsidRPr="00B148E3">
        <w:rPr>
          <w:color w:val="000000" w:themeColor="text1"/>
          <w:lang w:val="es-ES"/>
        </w:rPr>
        <w:t>Era más bien formar un sistema federal factible con instituciones complementarias creadas por el congreso federal de un lado, y cinco legislaturas estatales, de otro.</w:t>
      </w:r>
      <w:r w:rsidRPr="00045E81">
        <w:rPr>
          <w:color w:val="000000" w:themeColor="text1"/>
          <w:lang w:val="es-ES"/>
        </w:rPr>
        <w:t xml:space="preserve">  </w:t>
      </w:r>
    </w:p>
    <w:p w14:paraId="4434A02D" w14:textId="77777777" w:rsidR="00936C95" w:rsidRPr="008C2625" w:rsidRDefault="00936C95" w:rsidP="008C2625">
      <w:pPr>
        <w:spacing w:line="360" w:lineRule="auto"/>
        <w:jc w:val="both"/>
        <w:rPr>
          <w:lang w:val="es-ES"/>
        </w:rPr>
      </w:pPr>
      <w:r w:rsidRPr="001C4D3B">
        <w:rPr>
          <w:lang w:val="es-ES"/>
        </w:rPr>
        <w:t xml:space="preserve">El historiador Mario Rodríguez </w:t>
      </w:r>
      <w:r w:rsidRPr="003E1CB1">
        <w:rPr>
          <w:lang w:val="es-ES"/>
        </w:rPr>
        <w:t>ha definido con acierto que los primeros años federales centroamericanos fueron una extensión de la experiencia de Cádiz</w:t>
      </w:r>
      <w:r w:rsidRPr="003E1CB1">
        <w:rPr>
          <w:rStyle w:val="FootnoteReference"/>
          <w:lang w:val="es-ES"/>
        </w:rPr>
        <w:footnoteReference w:id="55"/>
      </w:r>
      <w:r w:rsidRPr="003E1CB1">
        <w:rPr>
          <w:lang w:val="es-ES"/>
        </w:rPr>
        <w:t>. En término del procedimiento electoral, este período queda comprendido entre 1826 y</w:t>
      </w:r>
      <w:r w:rsidRPr="001C4D3B">
        <w:rPr>
          <w:lang w:val="es-ES"/>
        </w:rPr>
        <w:t xml:space="preserve"> 1839, cuando la federación se disolvió y </w:t>
      </w:r>
      <w:r>
        <w:rPr>
          <w:lang w:val="es-ES"/>
        </w:rPr>
        <w:t xml:space="preserve">las nuevas constituciones </w:t>
      </w:r>
      <w:r w:rsidRPr="001C4D3B">
        <w:rPr>
          <w:lang w:val="es-ES"/>
        </w:rPr>
        <w:t xml:space="preserve">introdujeron cambios sustanciales. Hasta 1839, </w:t>
      </w:r>
      <w:r w:rsidRPr="00F92A8D">
        <w:rPr>
          <w:lang w:val="es-ES"/>
        </w:rPr>
        <w:t>el gobierno federal y los gobiernos estatales adaptaron un modelo constitucional que parecía haber funcionado relativamente bien antes y después de la independencia, y las elecciones se convirtieron en una característica habitual de la vida política, aunque no fue el único medio por el que el poder político cambió de manos. Sin embargo, en este período se estableció por primera vez una característica importante del gobierno representativo centroamericano: la selección de los titulares de cargos nacionales por las asambleas legislativas cuando las elecciones populares no producían candidatos de clara mayoría.</w:t>
      </w:r>
    </w:p>
    <w:p w14:paraId="31F1B437" w14:textId="690743FE" w:rsidR="00936C95" w:rsidRPr="000D2746" w:rsidRDefault="00936C95" w:rsidP="001C4D3B">
      <w:pPr>
        <w:spacing w:line="360" w:lineRule="auto"/>
        <w:ind w:firstLine="284"/>
        <w:jc w:val="both"/>
        <w:rPr>
          <w:lang w:val="es-ES"/>
        </w:rPr>
      </w:pPr>
      <w:r w:rsidRPr="001C4D3B">
        <w:rPr>
          <w:lang w:val="es-ES"/>
        </w:rPr>
        <w:t>La estructura de la Centroamérica republicana tenía elementos significativos que pue</w:t>
      </w:r>
      <w:r>
        <w:rPr>
          <w:lang w:val="es-ES"/>
        </w:rPr>
        <w:t>den considerarse "democráticos".</w:t>
      </w:r>
      <w:r w:rsidRPr="001C4D3B">
        <w:rPr>
          <w:lang w:val="es-ES"/>
        </w:rPr>
        <w:t xml:space="preserve"> </w:t>
      </w:r>
      <w:r>
        <w:rPr>
          <w:lang w:val="es-ES"/>
        </w:rPr>
        <w:t>L</w:t>
      </w:r>
      <w:r w:rsidRPr="001C4D3B">
        <w:rPr>
          <w:lang w:val="es-ES"/>
        </w:rPr>
        <w:t>os legisladores de la Asamblea Nacional Constituyente no eran demasiado idealistas. La constit</w:t>
      </w:r>
      <w:r>
        <w:rPr>
          <w:lang w:val="es-ES"/>
        </w:rPr>
        <w:t xml:space="preserve">ución federal de Centroamérica de </w:t>
      </w:r>
      <w:r w:rsidRPr="001C4D3B">
        <w:rPr>
          <w:lang w:val="es-ES"/>
        </w:rPr>
        <w:t>1824 estableció un gobierno "popular, representativo, federal" que reclamaba la soberanía nacional</w:t>
      </w:r>
      <w:r w:rsidRPr="001C4D3B">
        <w:rPr>
          <w:rStyle w:val="FootnoteReference"/>
        </w:rPr>
        <w:footnoteReference w:id="56"/>
      </w:r>
      <w:r w:rsidRPr="008C2625">
        <w:rPr>
          <w:lang w:val="es-ES"/>
        </w:rPr>
        <w:t>.</w:t>
      </w:r>
      <w:r w:rsidRPr="001C4D3B">
        <w:rPr>
          <w:lang w:val="es-ES_tradnl"/>
        </w:rPr>
        <w:t xml:space="preserve"> </w:t>
      </w:r>
      <w:r w:rsidRPr="001C4D3B">
        <w:rPr>
          <w:lang w:val="es-ES"/>
        </w:rPr>
        <w:t xml:space="preserve">Las </w:t>
      </w:r>
      <w:r>
        <w:rPr>
          <w:lang w:val="es-ES"/>
        </w:rPr>
        <w:t xml:space="preserve">cinco constituciones </w:t>
      </w:r>
      <w:r w:rsidRPr="00F92A8D">
        <w:rPr>
          <w:lang w:val="es-ES"/>
        </w:rPr>
        <w:t>estatales, promulgadas entre 1824 y 1826, adoptaron una misma estructura política básica con la separación de las</w:t>
      </w:r>
      <w:r w:rsidRPr="001C4D3B">
        <w:rPr>
          <w:lang w:val="es-ES"/>
        </w:rPr>
        <w:t xml:space="preserve"> ramas ejecutivas, legislativas y judiciales, aceptaron la soberanía limitada a asuntos internos y establecieron requisitos complementarios para los cargos públicos y el servicio público. Esta estructura común se basó en gran medida en la legislación de Cádiz para el proceso </w:t>
      </w:r>
      <w:r w:rsidRPr="001C4D3B">
        <w:rPr>
          <w:lang w:val="es-ES"/>
        </w:rPr>
        <w:lastRenderedPageBreak/>
        <w:t xml:space="preserve">electoral, las elecciones legislativas y la gobernanza municipal. La elección de las autoridades </w:t>
      </w:r>
      <w:r w:rsidRPr="00F92A8D">
        <w:rPr>
          <w:lang w:val="es-ES"/>
        </w:rPr>
        <w:t>ejecutivas y judiciales se inspiró en los modelos estadounidense, francés y sudamericano, ya que el sistema gaditano no contempló la elección de los poderes ejecutivo y judicial</w:t>
      </w:r>
      <w:r w:rsidRPr="00F92A8D">
        <w:rPr>
          <w:rStyle w:val="FootnoteReference"/>
        </w:rPr>
        <w:footnoteReference w:id="57"/>
      </w:r>
      <w:r w:rsidRPr="00F92A8D">
        <w:rPr>
          <w:lang w:val="es-ES"/>
        </w:rPr>
        <w:t>. Además, en la definición de la ciudadanía, no sólo se abandon</w:t>
      </w:r>
      <w:r w:rsidR="001D2114">
        <w:rPr>
          <w:lang w:val="es-ES"/>
        </w:rPr>
        <w:t>aron</w:t>
      </w:r>
      <w:r w:rsidRPr="00F92A8D">
        <w:rPr>
          <w:lang w:val="es-ES"/>
        </w:rPr>
        <w:t xml:space="preserve"> las "repúblicas" separadas de españoles e indígenas, sino que a partir de la consideración del nacimiento y raza (</w:t>
      </w:r>
      <w:proofErr w:type="spellStart"/>
      <w:r w:rsidRPr="00F92A8D">
        <w:rPr>
          <w:i/>
          <w:lang w:val="es-ES"/>
        </w:rPr>
        <w:t>ius</w:t>
      </w:r>
      <w:proofErr w:type="spellEnd"/>
      <w:r w:rsidRPr="00F92A8D">
        <w:rPr>
          <w:i/>
          <w:lang w:val="es-ES"/>
        </w:rPr>
        <w:t xml:space="preserve"> </w:t>
      </w:r>
      <w:proofErr w:type="spellStart"/>
      <w:r w:rsidRPr="00F92A8D">
        <w:rPr>
          <w:i/>
          <w:lang w:val="es-ES"/>
        </w:rPr>
        <w:t>solis</w:t>
      </w:r>
      <w:proofErr w:type="spellEnd"/>
      <w:r w:rsidRPr="00F92A8D">
        <w:rPr>
          <w:i/>
          <w:lang w:val="es-ES"/>
        </w:rPr>
        <w:t xml:space="preserve"> y </w:t>
      </w:r>
      <w:proofErr w:type="spellStart"/>
      <w:r w:rsidRPr="00F92A8D">
        <w:rPr>
          <w:i/>
          <w:lang w:val="es-ES"/>
        </w:rPr>
        <w:t>sanguinis</w:t>
      </w:r>
      <w:proofErr w:type="spellEnd"/>
      <w:r w:rsidRPr="00F92A8D">
        <w:rPr>
          <w:lang w:val="es-ES"/>
        </w:rPr>
        <w:t>) se extendió la calidad de ciudadano a partir de los criterios temporales de residencia y lealtad.</w:t>
      </w:r>
      <w:r>
        <w:rPr>
          <w:lang w:val="es-ES"/>
        </w:rPr>
        <w:t xml:space="preserve"> Tampoco se añadieron</w:t>
      </w:r>
      <w:r w:rsidRPr="001C4D3B">
        <w:rPr>
          <w:lang w:val="es-ES"/>
        </w:rPr>
        <w:t xml:space="preserve"> </w:t>
      </w:r>
      <w:r>
        <w:rPr>
          <w:lang w:val="es-ES"/>
        </w:rPr>
        <w:t>criterios socioeconómicos de propiedad ni de</w:t>
      </w:r>
      <w:r w:rsidRPr="001C4D3B">
        <w:rPr>
          <w:lang w:val="es-ES"/>
        </w:rPr>
        <w:t xml:space="preserve"> alfabetización que podrían </w:t>
      </w:r>
      <w:r>
        <w:rPr>
          <w:lang w:val="es-ES"/>
        </w:rPr>
        <w:t>haber privado de derechos políticos a los pobres o</w:t>
      </w:r>
      <w:r w:rsidRPr="001C4D3B">
        <w:rPr>
          <w:lang w:val="es-ES"/>
        </w:rPr>
        <w:t xml:space="preserve"> </w:t>
      </w:r>
      <w:r>
        <w:rPr>
          <w:lang w:val="es-ES"/>
        </w:rPr>
        <w:t>marginados</w:t>
      </w:r>
      <w:r w:rsidRPr="00F92A8D">
        <w:rPr>
          <w:lang w:val="es-ES"/>
        </w:rPr>
        <w:t>. La decisión centroamericana de incluir formalmente como ciudadanos a los hombres de origen africano fue la secuela del anuncio de la abolición de la esclavitud por parte de la Asamblea Nacional Constituyente</w:t>
      </w:r>
      <w:r w:rsidRPr="001C4D3B">
        <w:rPr>
          <w:rStyle w:val="FootnoteReference"/>
        </w:rPr>
        <w:footnoteReference w:id="58"/>
      </w:r>
      <w:r w:rsidRPr="000D2746">
        <w:rPr>
          <w:lang w:val="es-ES"/>
        </w:rPr>
        <w:t>.</w:t>
      </w:r>
      <w:r w:rsidR="001D2114">
        <w:rPr>
          <w:lang w:val="es-ES"/>
        </w:rPr>
        <w:t xml:space="preserve"> </w:t>
      </w:r>
    </w:p>
    <w:p w14:paraId="209B81F7" w14:textId="66C495C1" w:rsidR="00936C95" w:rsidRPr="00B05935" w:rsidRDefault="00936C95" w:rsidP="001C4D3B">
      <w:pPr>
        <w:spacing w:line="360" w:lineRule="auto"/>
        <w:ind w:firstLine="284"/>
        <w:jc w:val="both"/>
        <w:rPr>
          <w:lang w:val="es-ES"/>
        </w:rPr>
      </w:pPr>
      <w:r w:rsidRPr="001C4D3B">
        <w:rPr>
          <w:lang w:val="es-ES"/>
        </w:rPr>
        <w:t>En la política electoral, las primeras Constituciones federales y estatales centroamericanas reprodujeron la estructura básica de la constitución española de 1812, estableciendo elecciones populares que tenían que ser públicas para ser válidas</w:t>
      </w:r>
      <w:r w:rsidRPr="001C4D3B">
        <w:rPr>
          <w:rStyle w:val="FootnoteReference"/>
        </w:rPr>
        <w:footnoteReference w:id="59"/>
      </w:r>
      <w:r w:rsidRPr="000D2746">
        <w:rPr>
          <w:lang w:val="es-ES"/>
        </w:rPr>
        <w:t>.</w:t>
      </w:r>
      <w:r w:rsidRPr="001C4D3B">
        <w:rPr>
          <w:lang w:val="es-ES"/>
        </w:rPr>
        <w:t xml:space="preserve"> Adoptaron el</w:t>
      </w:r>
      <w:r>
        <w:rPr>
          <w:lang w:val="es-ES"/>
        </w:rPr>
        <w:t xml:space="preserve"> intrincado </w:t>
      </w:r>
      <w:r w:rsidRPr="00F92A8D">
        <w:rPr>
          <w:lang w:val="es-ES"/>
        </w:rPr>
        <w:t>proceso de elecciones populares indirectas por las cuales los ciudadanos seleccionaban a sus mun</w:t>
      </w:r>
      <w:r w:rsidRPr="001C4D3B">
        <w:rPr>
          <w:lang w:val="es-ES"/>
        </w:rPr>
        <w:t>ícipes</w:t>
      </w:r>
      <w:r w:rsidR="001D2114">
        <w:rPr>
          <w:lang w:val="es-ES"/>
        </w:rPr>
        <w:t xml:space="preserve"> (¿?) </w:t>
      </w:r>
      <w:r w:rsidRPr="001C4D3B">
        <w:rPr>
          <w:lang w:val="es-ES"/>
        </w:rPr>
        <w:t xml:space="preserve"> y "</w:t>
      </w:r>
      <w:r>
        <w:rPr>
          <w:lang w:val="es-ES"/>
        </w:rPr>
        <w:t xml:space="preserve">electores de partido", </w:t>
      </w:r>
      <w:r w:rsidR="001D2114">
        <w:rPr>
          <w:lang w:val="es-ES"/>
        </w:rPr>
        <w:t>é</w:t>
      </w:r>
      <w:r>
        <w:rPr>
          <w:lang w:val="es-ES"/>
        </w:rPr>
        <w:t>stos a su vez seleccionaban</w:t>
      </w:r>
      <w:r w:rsidRPr="001C4D3B">
        <w:rPr>
          <w:lang w:val="es-ES"/>
        </w:rPr>
        <w:t xml:space="preserve"> a los "electores de departamento"</w:t>
      </w:r>
      <w:r>
        <w:rPr>
          <w:lang w:val="es-ES"/>
        </w:rPr>
        <w:t xml:space="preserve">, y por último </w:t>
      </w:r>
      <w:r w:rsidR="001D2114">
        <w:rPr>
          <w:lang w:val="es-ES"/>
        </w:rPr>
        <w:t>é</w:t>
      </w:r>
      <w:r>
        <w:rPr>
          <w:lang w:val="es-ES"/>
        </w:rPr>
        <w:t>stos elegían</w:t>
      </w:r>
      <w:r w:rsidRPr="001C4D3B">
        <w:rPr>
          <w:lang w:val="es-ES"/>
        </w:rPr>
        <w:t xml:space="preserve"> a los miembros de las asambleas legislativas estatales y federales. Las juntas departamentales </w:t>
      </w:r>
      <w:r w:rsidRPr="00F92A8D">
        <w:rPr>
          <w:lang w:val="es-ES"/>
        </w:rPr>
        <w:t>también debían emitir sus votos para los cargos ejecutivos y judiciales, así como para el cuarto "poder conservador", semejante a</w:t>
      </w:r>
      <w:r>
        <w:rPr>
          <w:lang w:val="es-ES"/>
        </w:rPr>
        <w:t xml:space="preserve"> un</w:t>
      </w:r>
      <w:r w:rsidRPr="00F92A8D">
        <w:rPr>
          <w:lang w:val="es-ES"/>
        </w:rPr>
        <w:t xml:space="preserve"> </w:t>
      </w:r>
      <w:r>
        <w:rPr>
          <w:lang w:val="es-ES"/>
        </w:rPr>
        <w:t>s</w:t>
      </w:r>
      <w:r w:rsidRPr="00F92A8D">
        <w:rPr>
          <w:lang w:val="es-ES"/>
        </w:rPr>
        <w:t>enado, para su posterior calificación por parte de la asamblea respectiva</w:t>
      </w:r>
      <w:r w:rsidRPr="00F92A8D">
        <w:rPr>
          <w:rStyle w:val="FootnoteReference"/>
        </w:rPr>
        <w:footnoteReference w:id="60"/>
      </w:r>
      <w:r w:rsidRPr="00F92A8D">
        <w:rPr>
          <w:lang w:val="es-ES"/>
        </w:rPr>
        <w:t>.</w:t>
      </w:r>
      <w:r w:rsidRPr="00F92A8D">
        <w:rPr>
          <w:lang w:val="es-ES_tradnl"/>
        </w:rPr>
        <w:t xml:space="preserve"> </w:t>
      </w:r>
      <w:r>
        <w:rPr>
          <w:lang w:val="es-ES_tradnl"/>
        </w:rPr>
        <w:t xml:space="preserve">La diferencia era que </w:t>
      </w:r>
      <w:r>
        <w:rPr>
          <w:lang w:val="es-ES"/>
        </w:rPr>
        <w:t>si</w:t>
      </w:r>
      <w:r w:rsidRPr="00F92A8D">
        <w:rPr>
          <w:lang w:val="es-ES"/>
        </w:rPr>
        <w:t xml:space="preserve"> ningún candidato triunfaba con una mayoría simple, las asambleas federales o estatales se encargaban de seleccionarlo de entre los candidatos. Anticipándose a problemas de legitimidad, un</w:t>
      </w:r>
      <w:r w:rsidRPr="001C4D3B">
        <w:rPr>
          <w:lang w:val="es-ES"/>
        </w:rPr>
        <w:t xml:space="preserve"> </w:t>
      </w:r>
      <w:r w:rsidR="00B148E3" w:rsidRPr="00B148E3">
        <w:rPr>
          <w:lang w:val="es-ES"/>
        </w:rPr>
        <w:t>perspicaz</w:t>
      </w:r>
      <w:r w:rsidR="00B148E3" w:rsidRPr="001C4D3B">
        <w:rPr>
          <w:lang w:val="es-ES"/>
        </w:rPr>
        <w:t xml:space="preserve"> </w:t>
      </w:r>
      <w:r w:rsidRPr="001C4D3B">
        <w:rPr>
          <w:lang w:val="es-ES"/>
        </w:rPr>
        <w:t xml:space="preserve">diputado </w:t>
      </w:r>
      <w:r w:rsidR="001D2114">
        <w:rPr>
          <w:lang w:val="es-ES"/>
        </w:rPr>
        <w:t>propuso</w:t>
      </w:r>
      <w:r w:rsidR="001D2114" w:rsidRPr="001C4D3B">
        <w:rPr>
          <w:lang w:val="es-ES"/>
        </w:rPr>
        <w:t xml:space="preserve"> </w:t>
      </w:r>
      <w:r w:rsidRPr="001C4D3B">
        <w:rPr>
          <w:lang w:val="es-ES"/>
        </w:rPr>
        <w:t xml:space="preserve">establecer que una asamblea legislativa </w:t>
      </w:r>
      <w:r>
        <w:rPr>
          <w:lang w:val="es-ES"/>
        </w:rPr>
        <w:t>solo pudiese</w:t>
      </w:r>
      <w:r w:rsidRPr="001C4D3B">
        <w:rPr>
          <w:lang w:val="es-ES"/>
        </w:rPr>
        <w:t xml:space="preserve"> elegir al vencedor entre los candidatos con mayor número de votos populares</w:t>
      </w:r>
      <w:r>
        <w:rPr>
          <w:lang w:val="es-ES"/>
        </w:rPr>
        <w:t>, pero</w:t>
      </w:r>
      <w:r w:rsidRPr="001C4D3B">
        <w:rPr>
          <w:lang w:val="es-ES"/>
        </w:rPr>
        <w:t xml:space="preserve"> la proposición fue rechazada</w:t>
      </w:r>
      <w:r w:rsidRPr="001C4D3B">
        <w:rPr>
          <w:rStyle w:val="FootnoteReference"/>
        </w:rPr>
        <w:footnoteReference w:id="61"/>
      </w:r>
      <w:r w:rsidRPr="00277504">
        <w:rPr>
          <w:lang w:val="es-ES"/>
        </w:rPr>
        <w:t>.</w:t>
      </w:r>
      <w:r w:rsidR="00B148E3">
        <w:rPr>
          <w:lang w:val="es-ES"/>
        </w:rPr>
        <w:t xml:space="preserve"> </w:t>
      </w:r>
      <w:r w:rsidRPr="00B148E3">
        <w:rPr>
          <w:lang w:val="es-ES"/>
        </w:rPr>
        <w:t xml:space="preserve">Sin que los </w:t>
      </w:r>
      <w:r w:rsidR="00B148E3" w:rsidRPr="00B148E3">
        <w:rPr>
          <w:lang w:val="es-ES"/>
        </w:rPr>
        <w:t>legisladores se diera</w:t>
      </w:r>
      <w:r w:rsidRPr="00B148E3">
        <w:rPr>
          <w:lang w:val="es-ES"/>
        </w:rPr>
        <w:t>n cuenta, el proceso ‘</w:t>
      </w:r>
      <w:proofErr w:type="spellStart"/>
      <w:r w:rsidRPr="00B148E3">
        <w:rPr>
          <w:lang w:val="es-ES"/>
        </w:rPr>
        <w:t>selectoral</w:t>
      </w:r>
      <w:proofErr w:type="spellEnd"/>
      <w:r w:rsidRPr="00B148E3">
        <w:rPr>
          <w:lang w:val="es-ES"/>
        </w:rPr>
        <w:t>’ introducido con la constitución gaditana amplió su</w:t>
      </w:r>
      <w:r w:rsidR="00B148E3">
        <w:rPr>
          <w:lang w:val="es-ES"/>
        </w:rPr>
        <w:t xml:space="preserve"> presencia al periodo nacional.</w:t>
      </w:r>
      <w:r>
        <w:rPr>
          <w:lang w:val="es-ES"/>
        </w:rPr>
        <w:t xml:space="preserve"> </w:t>
      </w:r>
    </w:p>
    <w:p w14:paraId="08D5AE5C" w14:textId="220436E8" w:rsidR="00936C95" w:rsidRPr="001C4D3B" w:rsidRDefault="00936C95" w:rsidP="001C4D3B">
      <w:pPr>
        <w:spacing w:line="360" w:lineRule="auto"/>
        <w:ind w:firstLine="284"/>
        <w:jc w:val="both"/>
        <w:rPr>
          <w:lang w:val="es-ES"/>
        </w:rPr>
      </w:pPr>
      <w:r>
        <w:rPr>
          <w:lang w:val="es-ES"/>
        </w:rPr>
        <w:lastRenderedPageBreak/>
        <w:t>Aunque hubo pocos</w:t>
      </w:r>
      <w:r w:rsidRPr="001C4D3B">
        <w:rPr>
          <w:lang w:val="es-ES"/>
        </w:rPr>
        <w:t xml:space="preserve"> </w:t>
      </w:r>
      <w:r>
        <w:rPr>
          <w:lang w:val="es-ES"/>
        </w:rPr>
        <w:t xml:space="preserve">cambios </w:t>
      </w:r>
      <w:r w:rsidRPr="001C4D3B">
        <w:rPr>
          <w:lang w:val="es-ES"/>
        </w:rPr>
        <w:t xml:space="preserve">en </w:t>
      </w:r>
      <w:r>
        <w:rPr>
          <w:lang w:val="es-ES"/>
        </w:rPr>
        <w:t>el marco d</w:t>
      </w:r>
      <w:r w:rsidRPr="001C4D3B">
        <w:rPr>
          <w:lang w:val="es-ES"/>
        </w:rPr>
        <w:t>el proceso electoral</w:t>
      </w:r>
      <w:r>
        <w:rPr>
          <w:lang w:val="es-ES"/>
        </w:rPr>
        <w:t xml:space="preserve"> de la monarquía constitucional</w:t>
      </w:r>
      <w:r w:rsidRPr="001C4D3B">
        <w:rPr>
          <w:lang w:val="es-ES"/>
        </w:rPr>
        <w:t>, el</w:t>
      </w:r>
      <w:r>
        <w:rPr>
          <w:lang w:val="es-ES"/>
        </w:rPr>
        <w:t xml:space="preserve"> sufragio funcionó de modo distinto</w:t>
      </w:r>
      <w:r w:rsidRPr="001C4D3B">
        <w:rPr>
          <w:lang w:val="es-ES"/>
        </w:rPr>
        <w:t xml:space="preserve"> dentro de un gobie</w:t>
      </w:r>
      <w:r>
        <w:rPr>
          <w:lang w:val="es-ES"/>
        </w:rPr>
        <w:t>rno representativo, empezando por</w:t>
      </w:r>
      <w:r w:rsidRPr="001C4D3B">
        <w:rPr>
          <w:lang w:val="es-ES"/>
        </w:rPr>
        <w:t xml:space="preserve"> el número de puestos elegibles. Antes de la independencia, solo eleg</w:t>
      </w:r>
      <w:r>
        <w:rPr>
          <w:lang w:val="es-ES"/>
        </w:rPr>
        <w:t>ían</w:t>
      </w:r>
      <w:r w:rsidRPr="001C4D3B">
        <w:rPr>
          <w:lang w:val="es-ES"/>
        </w:rPr>
        <w:t xml:space="preserve"> a un puñado de funcionarios</w:t>
      </w:r>
      <w:r>
        <w:rPr>
          <w:lang w:val="es-ES"/>
        </w:rPr>
        <w:t xml:space="preserve"> legislativos y administrativos,</w:t>
      </w:r>
      <w:r w:rsidRPr="001C4D3B">
        <w:rPr>
          <w:lang w:val="es-ES"/>
        </w:rPr>
        <w:t xml:space="preserve"> </w:t>
      </w:r>
      <w:r>
        <w:rPr>
          <w:lang w:val="es-ES"/>
        </w:rPr>
        <w:t xml:space="preserve">esto es, a los diputados a </w:t>
      </w:r>
      <w:r w:rsidRPr="001C4D3B">
        <w:rPr>
          <w:lang w:val="es-ES"/>
        </w:rPr>
        <w:t>Cortes y a</w:t>
      </w:r>
      <w:r>
        <w:rPr>
          <w:lang w:val="es-ES"/>
        </w:rPr>
        <w:t xml:space="preserve"> la Diputación P</w:t>
      </w:r>
      <w:r w:rsidRPr="001C4D3B">
        <w:rPr>
          <w:lang w:val="es-ES"/>
        </w:rPr>
        <w:t xml:space="preserve">rovincial. En 1824, </w:t>
      </w:r>
      <w:r>
        <w:rPr>
          <w:lang w:val="es-ES"/>
        </w:rPr>
        <w:t xml:space="preserve">en cambio, </w:t>
      </w:r>
      <w:r w:rsidRPr="001C4D3B">
        <w:rPr>
          <w:lang w:val="es-ES"/>
        </w:rPr>
        <w:t xml:space="preserve">los legisladores centroamericanos adaptaron </w:t>
      </w:r>
      <w:r>
        <w:rPr>
          <w:lang w:val="es-ES"/>
        </w:rPr>
        <w:t>el</w:t>
      </w:r>
      <w:r w:rsidRPr="001C4D3B">
        <w:rPr>
          <w:lang w:val="es-ES"/>
        </w:rPr>
        <w:t xml:space="preserve"> complejo modelo para todas las ramas </w:t>
      </w:r>
      <w:r>
        <w:rPr>
          <w:lang w:val="es-ES"/>
        </w:rPr>
        <w:t xml:space="preserve">y niveles </w:t>
      </w:r>
      <w:r w:rsidRPr="001C4D3B">
        <w:rPr>
          <w:lang w:val="es-ES"/>
        </w:rPr>
        <w:t xml:space="preserve">del gobierno, </w:t>
      </w:r>
      <w:r>
        <w:rPr>
          <w:lang w:val="es-ES"/>
        </w:rPr>
        <w:t xml:space="preserve">con </w:t>
      </w:r>
      <w:r w:rsidRPr="00F92A8D">
        <w:rPr>
          <w:lang w:val="es-ES"/>
        </w:rPr>
        <w:t xml:space="preserve">excepción importante </w:t>
      </w:r>
      <w:r w:rsidR="001D2114">
        <w:rPr>
          <w:lang w:val="es-ES"/>
        </w:rPr>
        <w:t>de</w:t>
      </w:r>
      <w:r w:rsidR="001D2114" w:rsidRPr="00F92A8D">
        <w:rPr>
          <w:lang w:val="es-ES"/>
        </w:rPr>
        <w:t xml:space="preserve"> </w:t>
      </w:r>
      <w:r w:rsidRPr="00F92A8D">
        <w:rPr>
          <w:lang w:val="es-ES"/>
        </w:rPr>
        <w:t xml:space="preserve">los jefes departamentales, </w:t>
      </w:r>
      <w:r>
        <w:rPr>
          <w:lang w:val="es-ES"/>
        </w:rPr>
        <w:t xml:space="preserve">nombrados por el ejecutivo, en base de </w:t>
      </w:r>
      <w:r w:rsidRPr="00F92A8D">
        <w:rPr>
          <w:lang w:val="es-ES"/>
        </w:rPr>
        <w:t>una lista propuesta por el Consejo Representativo</w:t>
      </w:r>
      <w:r>
        <w:rPr>
          <w:lang w:val="es-ES"/>
        </w:rPr>
        <w:t xml:space="preserve"> en el papel del Consejo de Indios</w:t>
      </w:r>
      <w:r w:rsidRPr="00F92A8D">
        <w:rPr>
          <w:rStyle w:val="FootnoteReference"/>
        </w:rPr>
        <w:footnoteReference w:id="62"/>
      </w:r>
      <w:r w:rsidRPr="00F92A8D">
        <w:rPr>
          <w:lang w:val="es-ES"/>
        </w:rPr>
        <w:t>.</w:t>
      </w:r>
      <w:r>
        <w:rPr>
          <w:lang w:val="es-ES"/>
        </w:rPr>
        <w:t xml:space="preserve">  El aumento cuantitativo y cualitativo </w:t>
      </w:r>
      <w:r w:rsidRPr="001C4D3B">
        <w:rPr>
          <w:lang w:val="es-ES"/>
        </w:rPr>
        <w:t xml:space="preserve">de </w:t>
      </w:r>
      <w:r>
        <w:rPr>
          <w:lang w:val="es-ES"/>
        </w:rPr>
        <w:t xml:space="preserve">las </w:t>
      </w:r>
      <w:r w:rsidRPr="001C4D3B">
        <w:rPr>
          <w:lang w:val="es-ES"/>
        </w:rPr>
        <w:t xml:space="preserve">elecciones y </w:t>
      </w:r>
      <w:r>
        <w:rPr>
          <w:lang w:val="es-ES"/>
        </w:rPr>
        <w:t>del n</w:t>
      </w:r>
      <w:r w:rsidR="001D2114">
        <w:rPr>
          <w:lang w:val="es-ES"/>
        </w:rPr>
        <w:t>ú</w:t>
      </w:r>
      <w:r>
        <w:rPr>
          <w:lang w:val="es-ES"/>
        </w:rPr>
        <w:t xml:space="preserve">mero de cargos </w:t>
      </w:r>
      <w:r w:rsidRPr="00B148E3">
        <w:rPr>
          <w:lang w:val="es-ES"/>
        </w:rPr>
        <w:t>proveídos</w:t>
      </w:r>
      <w:r>
        <w:rPr>
          <w:lang w:val="es-ES"/>
        </w:rPr>
        <w:t xml:space="preserve"> por </w:t>
      </w:r>
      <w:r w:rsidRPr="00F92A8D">
        <w:rPr>
          <w:lang w:val="es-ES"/>
        </w:rPr>
        <w:t xml:space="preserve">el sistema electoral </w:t>
      </w:r>
      <w:r w:rsidRPr="001C4D3B">
        <w:rPr>
          <w:lang w:val="es-ES"/>
        </w:rPr>
        <w:t xml:space="preserve">ha recibido poca atención en la historiografía centroamericana. Quizás doscientos años de republicanismo en las Américas hacen que tales elecciones parezcan naturales. En </w:t>
      </w:r>
      <w:r>
        <w:rPr>
          <w:lang w:val="es-ES"/>
        </w:rPr>
        <w:t>aqu</w:t>
      </w:r>
      <w:r w:rsidRPr="001C4D3B">
        <w:rPr>
          <w:lang w:val="es-ES"/>
        </w:rPr>
        <w:t>el momento, sin embargo, al menos un diputado preguntó si sería inc</w:t>
      </w:r>
      <w:r w:rsidR="001D2114">
        <w:rPr>
          <w:lang w:val="es-ES"/>
        </w:rPr>
        <w:t>ó</w:t>
      </w:r>
      <w:r w:rsidRPr="001C4D3B">
        <w:rPr>
          <w:lang w:val="es-ES"/>
        </w:rPr>
        <w:t xml:space="preserve">modo llevar a cabo elecciones y encontrar </w:t>
      </w:r>
      <w:r w:rsidRPr="00F92A8D">
        <w:rPr>
          <w:lang w:val="es-ES"/>
        </w:rPr>
        <w:t>candidatos para los 286 puestos públicos que calculaba eran necesari</w:t>
      </w:r>
      <w:r w:rsidR="001D2114">
        <w:rPr>
          <w:lang w:val="es-ES"/>
        </w:rPr>
        <w:t>o</w:t>
      </w:r>
      <w:r w:rsidRPr="00F92A8D">
        <w:rPr>
          <w:lang w:val="es-ES"/>
        </w:rPr>
        <w:t>s para que los seis gobiernos funcionasen. La implementación no tardó en dar una respuesta realista: ello sería difícil</w:t>
      </w:r>
      <w:r w:rsidRPr="00F92A8D">
        <w:rPr>
          <w:rStyle w:val="FootnoteReference"/>
        </w:rPr>
        <w:footnoteReference w:id="63"/>
      </w:r>
      <w:r w:rsidRPr="00F92A8D">
        <w:rPr>
          <w:lang w:val="es-ES"/>
        </w:rPr>
        <w:t>.</w:t>
      </w:r>
      <w:r w:rsidRPr="001C4D3B">
        <w:rPr>
          <w:lang w:val="es-ES"/>
        </w:rPr>
        <w:t xml:space="preserve"> </w:t>
      </w:r>
    </w:p>
    <w:p w14:paraId="088EB9CB" w14:textId="77777777" w:rsidR="00936C95" w:rsidRPr="001C4D3B" w:rsidRDefault="00936C95" w:rsidP="001C4D3B">
      <w:pPr>
        <w:spacing w:line="360" w:lineRule="auto"/>
        <w:ind w:firstLine="284"/>
        <w:jc w:val="both"/>
        <w:rPr>
          <w:lang w:val="es-ES"/>
        </w:rPr>
      </w:pPr>
      <w:r w:rsidRPr="001C4D3B">
        <w:rPr>
          <w:lang w:val="es-ES"/>
        </w:rPr>
        <w:t xml:space="preserve">La Constitución de 1812 podría haber acostumbrado a los centroamericanos a elegir a sus </w:t>
      </w:r>
      <w:r w:rsidRPr="00F92A8D">
        <w:rPr>
          <w:lang w:val="es-ES"/>
        </w:rPr>
        <w:t xml:space="preserve">funcionarios y representantes municipales para una asamblea regional, pero nada realmente los preparó para elegir a casi 300 funcionarios estatales y federales en funciones ejecutivas o judiciales. Fue una verdadera innovación que las constituciones de 1820 se comprometieran enteramente a elegir por voto popular </w:t>
      </w:r>
      <w:r>
        <w:rPr>
          <w:lang w:val="es-ES"/>
        </w:rPr>
        <w:t xml:space="preserve">(aunque indirecto) </w:t>
      </w:r>
      <w:r w:rsidRPr="00F92A8D">
        <w:rPr>
          <w:lang w:val="es-ES"/>
        </w:rPr>
        <w:t>a la mayoría de las autoridades ejecutivas, judiciales y legislativas más importantes. Antes de la independencia, la única elección a nivel regional para un representante para toda Centroamérica</w:t>
      </w:r>
      <w:r w:rsidRPr="001C4D3B">
        <w:rPr>
          <w:lang w:val="es-ES"/>
        </w:rPr>
        <w:t xml:space="preserve"> fue en la elección de 1809 para el delegado de la Suprema Junta</w:t>
      </w:r>
      <w:r>
        <w:rPr>
          <w:lang w:val="es-ES"/>
        </w:rPr>
        <w:t xml:space="preserve"> Central, quien que nunca viajó ni se integró a la misma</w:t>
      </w:r>
      <w:r w:rsidRPr="001C4D3B">
        <w:rPr>
          <w:lang w:val="es-ES"/>
        </w:rPr>
        <w:t xml:space="preserve">.  </w:t>
      </w:r>
    </w:p>
    <w:p w14:paraId="667A6754" w14:textId="16BB3322" w:rsidR="00936C95" w:rsidRPr="00F92A8D" w:rsidRDefault="00936C95" w:rsidP="001C4D3B">
      <w:pPr>
        <w:spacing w:line="360" w:lineRule="auto"/>
        <w:ind w:firstLine="284"/>
        <w:jc w:val="both"/>
        <w:rPr>
          <w:color w:val="000000" w:themeColor="text1"/>
          <w:lang w:val="es-ES"/>
        </w:rPr>
      </w:pPr>
      <w:r>
        <w:rPr>
          <w:lang w:val="es-ES"/>
        </w:rPr>
        <w:t>En las primera</w:t>
      </w:r>
      <w:r w:rsidRPr="001C4D3B">
        <w:rPr>
          <w:lang w:val="es-ES"/>
        </w:rPr>
        <w:t xml:space="preserve">s elecciones presidenciales, algunos centroamericanos tenían suficiente perfil regional para atraer votos populares sustanciales, como los dos concursantes que dividieron los votos en la primera presidencia federal en 1825: José Cecilio del Valle, de Choluteca, Honduras y Guatemala Ciudad, autor del acta de independencia, funcionario real y periodista, y Manuel José </w:t>
      </w:r>
      <w:r w:rsidRPr="001C4D3B">
        <w:rPr>
          <w:lang w:val="es-ES"/>
        </w:rPr>
        <w:lastRenderedPageBreak/>
        <w:t>Arce, de San Salvador, el líder en 1821 de la oposición a la unión de Salvador a México</w:t>
      </w:r>
      <w:r w:rsidRPr="001C4D3B">
        <w:rPr>
          <w:rStyle w:val="FootnoteReference"/>
        </w:rPr>
        <w:footnoteReference w:id="64"/>
      </w:r>
      <w:r w:rsidRPr="007B5EEE">
        <w:rPr>
          <w:lang w:val="es-ES"/>
        </w:rPr>
        <w:t>.</w:t>
      </w:r>
      <w:r>
        <w:rPr>
          <w:lang w:val="es-ES"/>
        </w:rPr>
        <w:t xml:space="preserve"> Los</w:t>
      </w:r>
      <w:r w:rsidRPr="001C4D3B">
        <w:rPr>
          <w:lang w:val="es-ES"/>
        </w:rPr>
        <w:t xml:space="preserve"> excelentes estudios sobre las elecciones decimonónicas en Nicaragua hechos por Xiomara Avendaño </w:t>
      </w:r>
      <w:r>
        <w:rPr>
          <w:lang w:val="es-ES"/>
        </w:rPr>
        <w:t>han sugerido</w:t>
      </w:r>
      <w:r w:rsidRPr="001C4D3B">
        <w:rPr>
          <w:lang w:val="es-ES"/>
        </w:rPr>
        <w:t xml:space="preserve"> que, en general, se respetaron e </w:t>
      </w:r>
      <w:r w:rsidRPr="00F92A8D">
        <w:rPr>
          <w:lang w:val="es-ES"/>
        </w:rPr>
        <w:t>implementaron los complejos</w:t>
      </w:r>
      <w:r w:rsidRPr="001C4D3B">
        <w:rPr>
          <w:lang w:val="es-ES"/>
        </w:rPr>
        <w:t xml:space="preserve"> procedimientos de votación a tres niveles</w:t>
      </w:r>
      <w:r w:rsidRPr="001C4D3B">
        <w:rPr>
          <w:rStyle w:val="FootnoteReference"/>
        </w:rPr>
        <w:footnoteReference w:id="65"/>
      </w:r>
      <w:r w:rsidRPr="007B5EEE">
        <w:rPr>
          <w:lang w:val="es-ES"/>
        </w:rPr>
        <w:t>.</w:t>
      </w:r>
      <w:r w:rsidRPr="001C4D3B">
        <w:rPr>
          <w:lang w:val="es-ES"/>
        </w:rPr>
        <w:t xml:space="preserve"> Del mismo modo, documentos electorales y legislativos que cubren el proceso electoral entre 1820 y 1840 en Sonsonate (El Salvador), la Ciudad de Guatemala y Antigua (Guatemala), y Tegucigal</w:t>
      </w:r>
      <w:r>
        <w:rPr>
          <w:lang w:val="es-ES"/>
        </w:rPr>
        <w:t xml:space="preserve">pa y </w:t>
      </w:r>
      <w:proofErr w:type="spellStart"/>
      <w:r>
        <w:rPr>
          <w:lang w:val="es-ES"/>
        </w:rPr>
        <w:t>Danlí</w:t>
      </w:r>
      <w:proofErr w:type="spellEnd"/>
      <w:r>
        <w:rPr>
          <w:lang w:val="es-ES"/>
        </w:rPr>
        <w:t xml:space="preserve"> (Honduras) indican que </w:t>
      </w:r>
      <w:r w:rsidRPr="001C4D3B">
        <w:rPr>
          <w:lang w:val="es-ES"/>
        </w:rPr>
        <w:t xml:space="preserve">los ciudadanos y las juntas se reunieron regularmente, leyeron en alta voz la legislación vigente, abordaron los desafíos </w:t>
      </w:r>
      <w:r>
        <w:rPr>
          <w:lang w:val="es-ES"/>
        </w:rPr>
        <w:t xml:space="preserve">con las calificaciones de </w:t>
      </w:r>
      <w:r w:rsidRPr="001C4D3B">
        <w:rPr>
          <w:lang w:val="es-ES"/>
        </w:rPr>
        <w:t>votantes y</w:t>
      </w:r>
      <w:r>
        <w:rPr>
          <w:lang w:val="es-ES"/>
        </w:rPr>
        <w:t>, por último,</w:t>
      </w:r>
      <w:r w:rsidRPr="001C4D3B">
        <w:rPr>
          <w:lang w:val="es-ES"/>
        </w:rPr>
        <w:t xml:space="preserve"> votaron</w:t>
      </w:r>
      <w:r w:rsidRPr="001C4D3B">
        <w:rPr>
          <w:rStyle w:val="FootnoteReference"/>
        </w:rPr>
        <w:footnoteReference w:id="66"/>
      </w:r>
      <w:r w:rsidRPr="007B5EEE">
        <w:rPr>
          <w:lang w:val="es-ES"/>
        </w:rPr>
        <w:t>.</w:t>
      </w:r>
      <w:r w:rsidRPr="001C4D3B">
        <w:rPr>
          <w:lang w:val="es-ES_tradnl"/>
        </w:rPr>
        <w:t xml:space="preserve"> </w:t>
      </w:r>
      <w:r w:rsidRPr="001C4D3B">
        <w:rPr>
          <w:lang w:val="es-ES"/>
        </w:rPr>
        <w:t xml:space="preserve">El número de </w:t>
      </w:r>
      <w:r w:rsidRPr="00F92A8D">
        <w:rPr>
          <w:color w:val="000000" w:themeColor="text1"/>
          <w:lang w:val="es-ES"/>
        </w:rPr>
        <w:t>elegibles</w:t>
      </w:r>
      <w:r>
        <w:rPr>
          <w:color w:val="FF0000"/>
          <w:lang w:val="es-ES"/>
        </w:rPr>
        <w:t xml:space="preserve"> </w:t>
      </w:r>
      <w:r>
        <w:rPr>
          <w:lang w:val="es-ES"/>
        </w:rPr>
        <w:t>varió según la elección.</w:t>
      </w:r>
      <w:r w:rsidRPr="001C4D3B">
        <w:rPr>
          <w:lang w:val="es-ES"/>
        </w:rPr>
        <w:t xml:space="preserve"> </w:t>
      </w:r>
      <w:r>
        <w:rPr>
          <w:lang w:val="es-ES"/>
        </w:rPr>
        <w:t>S</w:t>
      </w:r>
      <w:r w:rsidRPr="001C4D3B">
        <w:rPr>
          <w:lang w:val="es-ES"/>
        </w:rPr>
        <w:t>i bien varios miles de electores participa</w:t>
      </w:r>
      <w:r>
        <w:rPr>
          <w:lang w:val="es-ES"/>
        </w:rPr>
        <w:t>ron</w:t>
      </w:r>
      <w:r w:rsidRPr="001C4D3B">
        <w:rPr>
          <w:lang w:val="es-ES"/>
        </w:rPr>
        <w:t xml:space="preserve"> en la se</w:t>
      </w:r>
      <w:r>
        <w:rPr>
          <w:lang w:val="es-ES"/>
        </w:rPr>
        <w:t>lección de los electores de partido,</w:t>
      </w:r>
      <w:r w:rsidRPr="001C4D3B">
        <w:rPr>
          <w:lang w:val="es-ES"/>
        </w:rPr>
        <w:t xml:space="preserve"> en Guatemala y Costa Rica</w:t>
      </w:r>
      <w:r>
        <w:rPr>
          <w:lang w:val="es-ES"/>
        </w:rPr>
        <w:t>,</w:t>
      </w:r>
      <w:r w:rsidRPr="001C4D3B">
        <w:rPr>
          <w:lang w:val="es-ES"/>
        </w:rPr>
        <w:t xml:space="preserve"> respectivamente, </w:t>
      </w:r>
      <w:r>
        <w:rPr>
          <w:lang w:val="es-ES"/>
        </w:rPr>
        <w:t>hubo</w:t>
      </w:r>
      <w:r w:rsidRPr="001C4D3B">
        <w:rPr>
          <w:lang w:val="es-ES"/>
        </w:rPr>
        <w:t xml:space="preserve"> </w:t>
      </w:r>
      <w:r w:rsidRPr="00F92A8D">
        <w:rPr>
          <w:color w:val="000000" w:themeColor="text1"/>
          <w:lang w:val="es-ES"/>
        </w:rPr>
        <w:t xml:space="preserve">162 y 119 electores de distrito en 1825 (ver Cuadro 1); por su parte, Nicaragua tuvo entre 90 y 180 </w:t>
      </w:r>
      <w:r w:rsidRPr="00B148E3">
        <w:rPr>
          <w:color w:val="000000" w:themeColor="text1"/>
          <w:lang w:val="es-ES"/>
        </w:rPr>
        <w:t>electores de distrito</w:t>
      </w:r>
      <w:r w:rsidRPr="00F92A8D">
        <w:rPr>
          <w:color w:val="000000" w:themeColor="text1"/>
          <w:lang w:val="es-ES"/>
        </w:rPr>
        <w:t xml:space="preserve"> en el período federal</w:t>
      </w:r>
      <w:r w:rsidRPr="00F92A8D">
        <w:rPr>
          <w:rStyle w:val="FootnoteReference"/>
          <w:color w:val="000000" w:themeColor="text1"/>
        </w:rPr>
        <w:footnoteReference w:id="67"/>
      </w:r>
      <w:r w:rsidRPr="00F92A8D">
        <w:rPr>
          <w:color w:val="000000" w:themeColor="text1"/>
          <w:lang w:val="es-ES_tradnl"/>
        </w:rPr>
        <w:t>.</w:t>
      </w:r>
    </w:p>
    <w:tbl>
      <w:tblPr>
        <w:tblStyle w:val="TableGrid"/>
        <w:tblW w:w="0" w:type="auto"/>
        <w:tblLook w:val="04A0" w:firstRow="1" w:lastRow="0" w:firstColumn="1" w:lastColumn="0" w:noHBand="0" w:noVBand="1"/>
      </w:tblPr>
      <w:tblGrid>
        <w:gridCol w:w="6204"/>
      </w:tblGrid>
      <w:tr w:rsidR="00936C95" w:rsidRPr="006028E0" w14:paraId="67B93CBF" w14:textId="77777777" w:rsidTr="007B5EEE">
        <w:tc>
          <w:tcPr>
            <w:tcW w:w="6204" w:type="dxa"/>
          </w:tcPr>
          <w:p w14:paraId="00DADF68" w14:textId="77777777" w:rsidR="00936C95" w:rsidRPr="001C4D3B" w:rsidRDefault="00936C95" w:rsidP="00940525">
            <w:pPr>
              <w:spacing w:line="360" w:lineRule="auto"/>
              <w:ind w:left="567"/>
              <w:jc w:val="both"/>
              <w:rPr>
                <w:lang w:val="es-ES"/>
              </w:rPr>
            </w:pPr>
            <w:r w:rsidRPr="001C4D3B">
              <w:rPr>
                <w:noProof/>
                <w:lang w:val="es-ES" w:eastAsia="es-ES"/>
              </w:rPr>
              <w:lastRenderedPageBreak/>
              <w:drawing>
                <wp:inline distT="0" distB="0" distL="0" distR="0" wp14:anchorId="544F203D" wp14:editId="7A94B154">
                  <wp:extent cx="2836800" cy="4381200"/>
                  <wp:effectExtent l="19050" t="0" r="16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6873" r="14510" b="10307"/>
                          <a:stretch>
                            <a:fillRect/>
                          </a:stretch>
                        </pic:blipFill>
                        <pic:spPr bwMode="auto">
                          <a:xfrm>
                            <a:off x="0" y="0"/>
                            <a:ext cx="2836800" cy="4381200"/>
                          </a:xfrm>
                          <a:prstGeom prst="rect">
                            <a:avLst/>
                          </a:prstGeom>
                          <a:noFill/>
                          <a:ln>
                            <a:noFill/>
                          </a:ln>
                        </pic:spPr>
                      </pic:pic>
                    </a:graphicData>
                  </a:graphic>
                </wp:inline>
              </w:drawing>
            </w:r>
          </w:p>
        </w:tc>
      </w:tr>
    </w:tbl>
    <w:p w14:paraId="485C4C6B" w14:textId="77777777" w:rsidR="00936C95" w:rsidRDefault="00936C95" w:rsidP="00940525">
      <w:pPr>
        <w:jc w:val="both"/>
        <w:rPr>
          <w:sz w:val="22"/>
          <w:szCs w:val="22"/>
          <w:lang w:val="es-ES"/>
        </w:rPr>
      </w:pPr>
      <w:r>
        <w:rPr>
          <w:sz w:val="22"/>
          <w:szCs w:val="22"/>
          <w:lang w:val="es-ES"/>
        </w:rPr>
        <w:t xml:space="preserve">Fuente: Costa Rica, </w:t>
      </w:r>
      <w:r w:rsidRPr="00940525">
        <w:rPr>
          <w:i/>
          <w:sz w:val="22"/>
          <w:szCs w:val="22"/>
          <w:lang w:val="es-ES"/>
        </w:rPr>
        <w:t>Recopilación</w:t>
      </w:r>
      <w:r>
        <w:rPr>
          <w:sz w:val="22"/>
          <w:szCs w:val="22"/>
          <w:lang w:val="es-ES"/>
        </w:rPr>
        <w:t xml:space="preserve"> </w:t>
      </w:r>
      <w:r w:rsidRPr="001C4D3B">
        <w:rPr>
          <w:sz w:val="22"/>
          <w:szCs w:val="22"/>
          <w:lang w:val="es-ES"/>
        </w:rPr>
        <w:t>(1886), pág. 83, 85.</w:t>
      </w:r>
      <w:r>
        <w:rPr>
          <w:sz w:val="22"/>
          <w:szCs w:val="22"/>
          <w:lang w:val="es-ES"/>
        </w:rPr>
        <w:t xml:space="preserve"> </w:t>
      </w:r>
    </w:p>
    <w:p w14:paraId="17EC92CB" w14:textId="77777777" w:rsidR="00936C95" w:rsidRDefault="00936C95" w:rsidP="00940525">
      <w:pPr>
        <w:jc w:val="both"/>
        <w:rPr>
          <w:sz w:val="22"/>
          <w:szCs w:val="22"/>
          <w:lang w:val="es-ES"/>
        </w:rPr>
      </w:pPr>
    </w:p>
    <w:p w14:paraId="69C83B21" w14:textId="3BDDDB66" w:rsidR="00936C95" w:rsidRDefault="00936C95" w:rsidP="00127E61">
      <w:pPr>
        <w:spacing w:line="360" w:lineRule="auto"/>
        <w:jc w:val="both"/>
        <w:rPr>
          <w:lang w:val="es-ES"/>
        </w:rPr>
      </w:pPr>
      <w:r w:rsidRPr="00127E61">
        <w:rPr>
          <w:lang w:val="es-ES"/>
        </w:rPr>
        <w:t>La tabla muestra</w:t>
      </w:r>
      <w:r>
        <w:rPr>
          <w:lang w:val="es-ES"/>
        </w:rPr>
        <w:t xml:space="preserve"> la complejidad </w:t>
      </w:r>
      <w:r w:rsidR="00AE7871">
        <w:rPr>
          <w:lang w:val="es-ES"/>
        </w:rPr>
        <w:t xml:space="preserve">y funcionamiento </w:t>
      </w:r>
      <w:r>
        <w:rPr>
          <w:lang w:val="es-ES"/>
        </w:rPr>
        <w:t>de</w:t>
      </w:r>
      <w:r w:rsidR="00AE7871">
        <w:rPr>
          <w:lang w:val="es-ES"/>
        </w:rPr>
        <w:t xml:space="preserve"> un</w:t>
      </w:r>
      <w:r>
        <w:rPr>
          <w:lang w:val="es-ES"/>
        </w:rPr>
        <w:t xml:space="preserve"> sistema electoral </w:t>
      </w:r>
      <w:r w:rsidR="00AE7871">
        <w:rPr>
          <w:lang w:val="es-ES"/>
        </w:rPr>
        <w:t>con</w:t>
      </w:r>
      <w:r w:rsidRPr="00B148E3">
        <w:rPr>
          <w:lang w:val="es-ES"/>
        </w:rPr>
        <w:t xml:space="preserve"> muchas etapas</w:t>
      </w:r>
      <w:r w:rsidR="00AE7871">
        <w:rPr>
          <w:lang w:val="es-ES"/>
        </w:rPr>
        <w:t>,</w:t>
      </w:r>
      <w:r w:rsidRPr="00B148E3">
        <w:rPr>
          <w:lang w:val="es-ES"/>
        </w:rPr>
        <w:t xml:space="preserve"> </w:t>
      </w:r>
      <w:r w:rsidR="00961299">
        <w:rPr>
          <w:lang w:val="es-ES"/>
        </w:rPr>
        <w:t>v</w:t>
      </w:r>
      <w:r w:rsidR="00AE7871">
        <w:rPr>
          <w:lang w:val="es-ES"/>
        </w:rPr>
        <w:t>ar</w:t>
      </w:r>
      <w:r w:rsidR="00961299">
        <w:rPr>
          <w:lang w:val="es-ES"/>
        </w:rPr>
        <w:t>ios niveles</w:t>
      </w:r>
      <w:r>
        <w:rPr>
          <w:lang w:val="es-ES"/>
        </w:rPr>
        <w:t xml:space="preserve">. </w:t>
      </w:r>
      <w:r w:rsidRPr="00127E61">
        <w:rPr>
          <w:lang w:val="es-ES"/>
        </w:rPr>
        <w:t xml:space="preserve">Costa Rica fue el único estado que adoptó requisitos </w:t>
      </w:r>
      <w:r>
        <w:rPr>
          <w:lang w:val="es-ES"/>
        </w:rPr>
        <w:t xml:space="preserve">distintos </w:t>
      </w:r>
      <w:r w:rsidRPr="00127E61">
        <w:rPr>
          <w:lang w:val="es-ES"/>
        </w:rPr>
        <w:t xml:space="preserve">de </w:t>
      </w:r>
      <w:r>
        <w:rPr>
          <w:lang w:val="es-ES"/>
        </w:rPr>
        <w:t>votar en las elecciones estatales y federales (Cuadro 2</w:t>
      </w:r>
      <w:r w:rsidRPr="00127E61">
        <w:rPr>
          <w:lang w:val="es-ES"/>
        </w:rPr>
        <w:t>). Presumiblemente, quisieron garantizar una mayor participación de los votantes en el estado con la población más pequeña en la que la representación legislativa por cada 30.000 o incluso 15.000 habitantes (las cifras seleccionadas por los otros Estados) produciría una legislatura estatal con cuatro miembros.</w:t>
      </w:r>
    </w:p>
    <w:p w14:paraId="41914278" w14:textId="77777777" w:rsidR="00936C95" w:rsidRDefault="00936C95" w:rsidP="00127E61">
      <w:pPr>
        <w:spacing w:line="360" w:lineRule="auto"/>
        <w:jc w:val="both"/>
        <w:rPr>
          <w:lang w:val="es-ES"/>
        </w:rPr>
      </w:pPr>
    </w:p>
    <w:p w14:paraId="7CAFDB7E" w14:textId="77777777" w:rsidR="00936C95" w:rsidRPr="00127E61" w:rsidRDefault="00936C95" w:rsidP="00127E61">
      <w:pPr>
        <w:spacing w:line="360" w:lineRule="auto"/>
        <w:jc w:val="both"/>
        <w:rPr>
          <w:lang w:val="es-ES"/>
        </w:rPr>
      </w:pPr>
      <w:r w:rsidRPr="00127E61">
        <w:rPr>
          <w:noProof/>
          <w:lang w:val="es-ES" w:eastAsia="es-ES"/>
        </w:rPr>
        <w:lastRenderedPageBreak/>
        <w:drawing>
          <wp:inline distT="0" distB="0" distL="0" distR="0" wp14:anchorId="3563D64F" wp14:editId="522152AA">
            <wp:extent cx="5044440" cy="29641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667" t="5211" r="9050" b="16833"/>
                    <a:stretch>
                      <a:fillRect/>
                    </a:stretch>
                  </pic:blipFill>
                  <pic:spPr bwMode="auto">
                    <a:xfrm>
                      <a:off x="0" y="0"/>
                      <a:ext cx="5044440" cy="2964180"/>
                    </a:xfrm>
                    <a:prstGeom prst="rect">
                      <a:avLst/>
                    </a:prstGeom>
                    <a:noFill/>
                    <a:ln>
                      <a:noFill/>
                    </a:ln>
                  </pic:spPr>
                </pic:pic>
              </a:graphicData>
            </a:graphic>
          </wp:inline>
        </w:drawing>
      </w:r>
    </w:p>
    <w:p w14:paraId="0184722E" w14:textId="77777777" w:rsidR="00936C95" w:rsidRDefault="00936C95" w:rsidP="00127E61">
      <w:pPr>
        <w:jc w:val="both"/>
        <w:rPr>
          <w:sz w:val="22"/>
          <w:szCs w:val="22"/>
          <w:lang w:val="es-ES"/>
        </w:rPr>
      </w:pPr>
      <w:r>
        <w:rPr>
          <w:sz w:val="22"/>
          <w:szCs w:val="22"/>
          <w:lang w:val="es-ES"/>
        </w:rPr>
        <w:t xml:space="preserve">Fuente: Costa Rica, </w:t>
      </w:r>
      <w:r w:rsidRPr="00940525">
        <w:rPr>
          <w:i/>
          <w:sz w:val="22"/>
          <w:szCs w:val="22"/>
          <w:lang w:val="es-ES"/>
        </w:rPr>
        <w:t>Recopilación</w:t>
      </w:r>
      <w:r>
        <w:rPr>
          <w:sz w:val="22"/>
          <w:szCs w:val="22"/>
          <w:lang w:val="es-ES"/>
        </w:rPr>
        <w:t xml:space="preserve"> </w:t>
      </w:r>
      <w:r w:rsidRPr="001C4D3B">
        <w:rPr>
          <w:sz w:val="22"/>
          <w:szCs w:val="22"/>
          <w:lang w:val="es-ES"/>
        </w:rPr>
        <w:t>(1886), pág. 83, 85.</w:t>
      </w:r>
      <w:r>
        <w:rPr>
          <w:sz w:val="22"/>
          <w:szCs w:val="22"/>
          <w:lang w:val="es-ES"/>
        </w:rPr>
        <w:t xml:space="preserve"> </w:t>
      </w:r>
    </w:p>
    <w:p w14:paraId="511CF67F" w14:textId="77777777" w:rsidR="00936C95" w:rsidRDefault="00936C95" w:rsidP="001C4D3B">
      <w:pPr>
        <w:spacing w:line="360" w:lineRule="auto"/>
        <w:ind w:firstLine="284"/>
        <w:jc w:val="both"/>
        <w:rPr>
          <w:lang w:val="es-ES"/>
        </w:rPr>
      </w:pPr>
    </w:p>
    <w:p w14:paraId="5F295149" w14:textId="77777777" w:rsidR="00936C95" w:rsidRPr="001C4D3B" w:rsidRDefault="00936C95" w:rsidP="001C4D3B">
      <w:pPr>
        <w:spacing w:line="360" w:lineRule="auto"/>
        <w:ind w:firstLine="284"/>
        <w:jc w:val="both"/>
        <w:rPr>
          <w:lang w:val="es-ES"/>
        </w:rPr>
      </w:pPr>
      <w:r>
        <w:rPr>
          <w:lang w:val="es-ES"/>
        </w:rPr>
        <w:t xml:space="preserve">Puede </w:t>
      </w:r>
      <w:r w:rsidRPr="001C4D3B">
        <w:rPr>
          <w:lang w:val="es-ES"/>
        </w:rPr>
        <w:t xml:space="preserve">que las juntas electorales </w:t>
      </w:r>
      <w:r>
        <w:rPr>
          <w:lang w:val="es-ES"/>
        </w:rPr>
        <w:t>fu</w:t>
      </w:r>
      <w:r w:rsidRPr="001C4D3B">
        <w:rPr>
          <w:lang w:val="es-ES"/>
        </w:rPr>
        <w:t>eran partidistas</w:t>
      </w:r>
      <w:r>
        <w:rPr>
          <w:lang w:val="es-ES"/>
        </w:rPr>
        <w:t xml:space="preserve">, pero en general fueron diligentes en documentar los </w:t>
      </w:r>
      <w:r w:rsidRPr="00F92A8D">
        <w:rPr>
          <w:lang w:val="es-ES"/>
        </w:rPr>
        <w:t>desafíos y resolver los cuestionamientos de la ciudadanía de un votante. A veces desechaban información no deseada, como cuando las juntas en Costa Rica y Guatemala se negaron a considerar la evidencia de que algunos votantes jóvenes eran menores de edad</w:t>
      </w:r>
      <w:r w:rsidRPr="00F92A8D">
        <w:rPr>
          <w:rStyle w:val="FootnoteReference"/>
        </w:rPr>
        <w:footnoteReference w:id="68"/>
      </w:r>
      <w:r w:rsidRPr="00F92A8D">
        <w:rPr>
          <w:lang w:val="es-ES"/>
        </w:rPr>
        <w:t>. Pero había más burocracia en los libros que escándalos. El libro electoral de Sonsonate detalla las discusiones sobre las calificaciones de votantes e, incluso, si se debía celebrar o</w:t>
      </w:r>
      <w:r w:rsidRPr="001C4D3B">
        <w:rPr>
          <w:lang w:val="es-ES"/>
        </w:rPr>
        <w:t xml:space="preserve"> no las elecciones </w:t>
      </w:r>
      <w:r>
        <w:rPr>
          <w:lang w:val="es-ES"/>
        </w:rPr>
        <w:t>d</w:t>
      </w:r>
      <w:r w:rsidRPr="001C4D3B">
        <w:rPr>
          <w:lang w:val="es-ES"/>
        </w:rPr>
        <w:t>el diputado</w:t>
      </w:r>
      <w:r>
        <w:rPr>
          <w:lang w:val="es-ES"/>
        </w:rPr>
        <w:t xml:space="preserve"> federal del distrito en 1826 </w:t>
      </w:r>
      <w:r w:rsidRPr="001C4D3B">
        <w:rPr>
          <w:lang w:val="es-ES"/>
        </w:rPr>
        <w:t>porque la indepe</w:t>
      </w:r>
      <w:r>
        <w:rPr>
          <w:lang w:val="es-ES"/>
        </w:rPr>
        <w:t>ndencia nacional estaba en duda</w:t>
      </w:r>
      <w:r w:rsidRPr="001C4D3B">
        <w:rPr>
          <w:rStyle w:val="FootnoteReference"/>
        </w:rPr>
        <w:footnoteReference w:id="69"/>
      </w:r>
      <w:r>
        <w:rPr>
          <w:lang w:val="es-ES_tradnl"/>
        </w:rPr>
        <w:t>.</w:t>
      </w:r>
      <w:r w:rsidRPr="001C4D3B">
        <w:rPr>
          <w:lang w:val="es-ES"/>
        </w:rPr>
        <w:t xml:space="preserve"> En general, los miembros de las</w:t>
      </w:r>
      <w:r>
        <w:rPr>
          <w:lang w:val="es-ES"/>
        </w:rPr>
        <w:t xml:space="preserve"> juntas parecían estar bien informados y dispuesto</w:t>
      </w:r>
      <w:r w:rsidRPr="001C4D3B">
        <w:rPr>
          <w:lang w:val="es-ES"/>
        </w:rPr>
        <w:t xml:space="preserve">s a implementar la ley si la situación lo requería. En las elecciones estatales de Guatemala en 1837, la junta electoral departamental de Salamá optó por elegir su diputado estatal a pesar de la ausencia de </w:t>
      </w:r>
      <w:r>
        <w:rPr>
          <w:lang w:val="es-ES"/>
        </w:rPr>
        <w:t>los electores de los</w:t>
      </w:r>
      <w:r w:rsidRPr="001C4D3B">
        <w:rPr>
          <w:lang w:val="es-ES"/>
        </w:rPr>
        <w:t xml:space="preserve"> distritos alejados</w:t>
      </w:r>
      <w:r>
        <w:rPr>
          <w:lang w:val="es-ES"/>
        </w:rPr>
        <w:t xml:space="preserve"> de Petén y </w:t>
      </w:r>
      <w:proofErr w:type="spellStart"/>
      <w:r>
        <w:rPr>
          <w:lang w:val="es-ES"/>
        </w:rPr>
        <w:t>Cahabón</w:t>
      </w:r>
      <w:proofErr w:type="spellEnd"/>
      <w:r>
        <w:rPr>
          <w:lang w:val="es-ES"/>
        </w:rPr>
        <w:t>.</w:t>
      </w:r>
      <w:r w:rsidRPr="001C4D3B">
        <w:rPr>
          <w:lang w:val="es-ES"/>
        </w:rPr>
        <w:t xml:space="preserve"> </w:t>
      </w:r>
      <w:r w:rsidRPr="00D96622">
        <w:rPr>
          <w:color w:val="000000" w:themeColor="text1"/>
          <w:lang w:val="es-ES"/>
        </w:rPr>
        <w:t>Los jueces de circuito</w:t>
      </w:r>
      <w:r>
        <w:rPr>
          <w:color w:val="FF0000"/>
          <w:lang w:val="es-ES"/>
        </w:rPr>
        <w:t xml:space="preserve"> </w:t>
      </w:r>
      <w:r w:rsidRPr="001C4D3B">
        <w:rPr>
          <w:lang w:val="es-ES"/>
        </w:rPr>
        <w:t xml:space="preserve">argumentaron que los </w:t>
      </w:r>
      <w:r>
        <w:rPr>
          <w:lang w:val="es-ES"/>
        </w:rPr>
        <w:t xml:space="preserve">dos </w:t>
      </w:r>
      <w:r w:rsidRPr="001C4D3B">
        <w:rPr>
          <w:lang w:val="es-ES"/>
        </w:rPr>
        <w:t xml:space="preserve">distritos deberían estar presentes para celebrar las elecciones, pero la junta argumentó que la mayoría de los electores estaban presentes, que Salamá </w:t>
      </w:r>
      <w:r>
        <w:rPr>
          <w:lang w:val="es-ES"/>
        </w:rPr>
        <w:t>había carecido</w:t>
      </w:r>
      <w:r w:rsidRPr="001C4D3B">
        <w:rPr>
          <w:lang w:val="es-ES"/>
        </w:rPr>
        <w:t xml:space="preserve"> de representación en la asamblea anterior por la misma razón, </w:t>
      </w:r>
      <w:r>
        <w:rPr>
          <w:lang w:val="es-ES"/>
        </w:rPr>
        <w:t xml:space="preserve">y </w:t>
      </w:r>
      <w:r w:rsidRPr="001C4D3B">
        <w:rPr>
          <w:lang w:val="es-ES"/>
        </w:rPr>
        <w:t>q</w:t>
      </w:r>
      <w:r>
        <w:rPr>
          <w:lang w:val="es-ES"/>
        </w:rPr>
        <w:t xml:space="preserve">ue el </w:t>
      </w:r>
      <w:r w:rsidRPr="00F92A8D">
        <w:rPr>
          <w:lang w:val="es-ES"/>
        </w:rPr>
        <w:t xml:space="preserve">Congreso no dictaminó nada al respecto. Aunque </w:t>
      </w:r>
      <w:r w:rsidRPr="00F92A8D">
        <w:rPr>
          <w:lang w:val="es-ES"/>
        </w:rPr>
        <w:lastRenderedPageBreak/>
        <w:t>algunos miembros de la junta boicotearon las elecciones en señal de protesta, la comisión de credenciales del Congreso admitió al ganador</w:t>
      </w:r>
      <w:r w:rsidRPr="00F92A8D">
        <w:rPr>
          <w:rStyle w:val="FootnoteReference"/>
        </w:rPr>
        <w:footnoteReference w:id="70"/>
      </w:r>
      <w:r w:rsidRPr="00F92A8D">
        <w:rPr>
          <w:lang w:val="es-ES_tradnl"/>
        </w:rPr>
        <w:t>.</w:t>
      </w:r>
      <w:r w:rsidRPr="001C4D3B">
        <w:rPr>
          <w:lang w:val="es-ES_tradnl"/>
        </w:rPr>
        <w:t xml:space="preserve"> </w:t>
      </w:r>
      <w:r w:rsidRPr="001C4D3B">
        <w:rPr>
          <w:lang w:val="es-ES"/>
        </w:rPr>
        <w:t xml:space="preserve"> </w:t>
      </w:r>
    </w:p>
    <w:p w14:paraId="4F203915" w14:textId="1EB20D8B" w:rsidR="00936C95" w:rsidRPr="001C4D3B" w:rsidRDefault="00936C95" w:rsidP="001C4D3B">
      <w:pPr>
        <w:spacing w:line="360" w:lineRule="auto"/>
        <w:ind w:firstLine="284"/>
        <w:jc w:val="both"/>
        <w:rPr>
          <w:lang w:val="es-ES_tradnl"/>
        </w:rPr>
      </w:pPr>
      <w:r w:rsidRPr="001C4D3B">
        <w:rPr>
          <w:lang w:val="es-ES_tradnl"/>
        </w:rPr>
        <w:t>En general, como los ejemplos indican</w:t>
      </w:r>
      <w:r>
        <w:rPr>
          <w:lang w:val="es-ES_tradnl"/>
        </w:rPr>
        <w:t xml:space="preserve">, </w:t>
      </w:r>
      <w:r w:rsidRPr="001C4D3B">
        <w:rPr>
          <w:lang w:val="es-ES_tradnl"/>
        </w:rPr>
        <w:t xml:space="preserve">cuando surgieron y se registraron de buena fe </w:t>
      </w:r>
      <w:r>
        <w:rPr>
          <w:lang w:val="es-ES_tradnl"/>
        </w:rPr>
        <w:t xml:space="preserve">las </w:t>
      </w:r>
      <w:r w:rsidRPr="001C4D3B">
        <w:rPr>
          <w:lang w:val="es-ES_tradnl"/>
        </w:rPr>
        <w:t xml:space="preserve">denuncias de </w:t>
      </w:r>
      <w:r w:rsidRPr="00F92A8D">
        <w:rPr>
          <w:lang w:val="es-ES_tradnl"/>
        </w:rPr>
        <w:t xml:space="preserve">fraude, las juntas consultaron las leyes, las debatieron y en gran medida implementaron sus criterios. En las elecciones de Guatemala de diciembre de 1837 para elegir vicepresidente federal, juez de la corte suprema de justicia </w:t>
      </w:r>
      <w:r w:rsidR="00961299">
        <w:rPr>
          <w:lang w:val="es-ES_tradnl"/>
        </w:rPr>
        <w:t>(</w:t>
      </w:r>
      <w:proofErr w:type="gramStart"/>
      <w:r w:rsidR="00961299">
        <w:rPr>
          <w:lang w:val="es-ES_tradnl"/>
        </w:rPr>
        <w:t>mayúsculas CSJ?</w:t>
      </w:r>
      <w:proofErr w:type="gramEnd"/>
      <w:r w:rsidR="00961299">
        <w:rPr>
          <w:lang w:val="es-ES_tradnl"/>
        </w:rPr>
        <w:t xml:space="preserve">) </w:t>
      </w:r>
      <w:r w:rsidRPr="00F92A8D">
        <w:rPr>
          <w:lang w:val="es-ES_tradnl"/>
        </w:rPr>
        <w:t>y congresistas, el Congreso</w:t>
      </w:r>
      <w:r w:rsidRPr="001C4D3B">
        <w:rPr>
          <w:lang w:val="es-ES_tradnl"/>
        </w:rPr>
        <w:t xml:space="preserve"> apoyó </w:t>
      </w:r>
      <w:r>
        <w:rPr>
          <w:lang w:val="es-ES_tradnl"/>
        </w:rPr>
        <w:t>a l</w:t>
      </w:r>
      <w:r w:rsidRPr="001C4D3B">
        <w:rPr>
          <w:lang w:val="es-ES_tradnl"/>
        </w:rPr>
        <w:t>a junta electoral departamental que rechazó los resultados de las votaciones del pueblo de San Juan Sacatepéquez porque tres testigos af</w:t>
      </w:r>
      <w:r>
        <w:rPr>
          <w:lang w:val="es-ES_tradnl"/>
        </w:rPr>
        <w:t>irmaron que el secretario había</w:t>
      </w:r>
      <w:r w:rsidRPr="001C4D3B">
        <w:rPr>
          <w:lang w:val="es-ES_tradnl"/>
        </w:rPr>
        <w:t xml:space="preserve"> </w:t>
      </w:r>
      <w:r>
        <w:rPr>
          <w:lang w:val="es-ES_tradnl"/>
        </w:rPr>
        <w:t>contabilizado mal</w:t>
      </w:r>
      <w:r w:rsidRPr="001C4D3B">
        <w:rPr>
          <w:lang w:val="es-ES_tradnl"/>
        </w:rPr>
        <w:t xml:space="preserve"> los votos para </w:t>
      </w:r>
      <w:r>
        <w:rPr>
          <w:lang w:val="es-ES_tradnl"/>
        </w:rPr>
        <w:t>que fuera</w:t>
      </w:r>
      <w:r w:rsidRPr="001C4D3B">
        <w:rPr>
          <w:lang w:val="es-ES_tradnl"/>
        </w:rPr>
        <w:t xml:space="preserve"> </w:t>
      </w:r>
      <w:r>
        <w:rPr>
          <w:lang w:val="es-ES_tradnl"/>
        </w:rPr>
        <w:t xml:space="preserve">él el </w:t>
      </w:r>
      <w:r w:rsidRPr="001C4D3B">
        <w:rPr>
          <w:lang w:val="es-ES_tradnl"/>
        </w:rPr>
        <w:t>"elegido</w:t>
      </w:r>
      <w:r w:rsidRPr="00F92A8D">
        <w:rPr>
          <w:lang w:val="es-ES_tradnl"/>
        </w:rPr>
        <w:t>"</w:t>
      </w:r>
      <w:r w:rsidRPr="00F92A8D">
        <w:rPr>
          <w:rStyle w:val="FootnoteReference"/>
        </w:rPr>
        <w:footnoteReference w:id="71"/>
      </w:r>
      <w:r w:rsidRPr="00F92A8D">
        <w:rPr>
          <w:lang w:val="es-ES"/>
        </w:rPr>
        <w:t>.</w:t>
      </w:r>
      <w:r w:rsidRPr="00F92A8D">
        <w:rPr>
          <w:lang w:val="es-ES_tradnl"/>
        </w:rPr>
        <w:t xml:space="preserve"> Recurriendo a la constitución federal y a la ley electoral, la junta descalificó al elector y continuó con la elección. Sin embargo, el número limitado de votantes distritales y departamentales y </w:t>
      </w:r>
      <w:r w:rsidR="00961299">
        <w:rPr>
          <w:lang w:val="es-ES_tradnl"/>
        </w:rPr>
        <w:t>los</w:t>
      </w:r>
      <w:r w:rsidR="00961299" w:rsidRPr="00F92A8D">
        <w:rPr>
          <w:lang w:val="es-ES_tradnl"/>
        </w:rPr>
        <w:t xml:space="preserve"> </w:t>
      </w:r>
      <w:r w:rsidRPr="00F92A8D">
        <w:rPr>
          <w:lang w:val="es-ES_tradnl"/>
        </w:rPr>
        <w:t>casos anuales en sí plantea</w:t>
      </w:r>
      <w:r w:rsidR="00961299">
        <w:rPr>
          <w:lang w:val="es-ES_tradnl"/>
        </w:rPr>
        <w:t>n</w:t>
      </w:r>
      <w:r w:rsidRPr="00F92A8D">
        <w:rPr>
          <w:lang w:val="es-ES_tradnl"/>
        </w:rPr>
        <w:t xml:space="preserve"> algunas interrogantes: ¿indican una baja incidencia de problemas, y por tanto un sistema electoral plenamente operativo, o una privación oculta del derecho de</w:t>
      </w:r>
      <w:r w:rsidRPr="001C4D3B">
        <w:rPr>
          <w:lang w:val="es-ES_tradnl"/>
        </w:rPr>
        <w:t xml:space="preserve"> voto? ¿La amplia gama de problemas refleja</w:t>
      </w:r>
      <w:r>
        <w:rPr>
          <w:lang w:val="es-ES_tradnl"/>
        </w:rPr>
        <w:t>ba</w:t>
      </w:r>
      <w:r w:rsidRPr="001C4D3B">
        <w:rPr>
          <w:lang w:val="es-ES_tradnl"/>
        </w:rPr>
        <w:t xml:space="preserve"> un fraude sustancial o los caprichos de la aplicación de regulaciones en lugares con pocos registros o votantes alfabetizados?</w:t>
      </w:r>
      <w:r w:rsidR="00961299">
        <w:rPr>
          <w:lang w:val="es-ES_tradnl"/>
        </w:rPr>
        <w:t xml:space="preserve"> (Ojo: primero dices que hay pocos problemas y después dices que muchos)</w:t>
      </w:r>
    </w:p>
    <w:p w14:paraId="223AB31F" w14:textId="32B80C25" w:rsidR="00936C95" w:rsidRPr="00396394" w:rsidRDefault="00936C95" w:rsidP="00396394">
      <w:pPr>
        <w:spacing w:line="360" w:lineRule="auto"/>
        <w:jc w:val="both"/>
        <w:rPr>
          <w:lang w:val="es-ES"/>
        </w:rPr>
      </w:pPr>
      <w:r w:rsidRPr="001C4D3B">
        <w:rPr>
          <w:lang w:val="es-ES_tradnl"/>
        </w:rPr>
        <w:t>Posiblement</w:t>
      </w:r>
      <w:r>
        <w:rPr>
          <w:lang w:val="es-ES_tradnl"/>
        </w:rPr>
        <w:t>e el signo más claro de</w:t>
      </w:r>
      <w:r w:rsidRPr="001C4D3B">
        <w:rPr>
          <w:lang w:val="es-ES_tradnl"/>
        </w:rPr>
        <w:t xml:space="preserve"> la afiliación centroamericana al sistema representativo es la </w:t>
      </w:r>
      <w:r>
        <w:rPr>
          <w:lang w:val="es-ES_tradnl"/>
        </w:rPr>
        <w:t xml:space="preserve">participación de los votantes. </w:t>
      </w:r>
      <w:r w:rsidRPr="001C4D3B">
        <w:rPr>
          <w:lang w:val="es-ES_tradnl"/>
        </w:rPr>
        <w:t>En teoría, los ejecutivos f</w:t>
      </w:r>
      <w:r>
        <w:rPr>
          <w:lang w:val="es-ES_tradnl"/>
        </w:rPr>
        <w:t>ueron elegidos por períodos de cuatro</w:t>
      </w:r>
      <w:r w:rsidRPr="001C4D3B">
        <w:rPr>
          <w:lang w:val="es-ES_tradnl"/>
        </w:rPr>
        <w:t xml:space="preserve"> años; </w:t>
      </w:r>
      <w:r>
        <w:rPr>
          <w:lang w:val="es-ES_tradnl"/>
        </w:rPr>
        <w:t xml:space="preserve">pero </w:t>
      </w:r>
      <w:r w:rsidRPr="001C4D3B">
        <w:rPr>
          <w:lang w:val="es-ES_tradnl"/>
        </w:rPr>
        <w:t>los tribunales supremos, las asambleas federal</w:t>
      </w:r>
      <w:r>
        <w:rPr>
          <w:lang w:val="es-ES_tradnl"/>
        </w:rPr>
        <w:t>es y estatales y los "poderes/senadores conservadores" rotaban</w:t>
      </w:r>
      <w:r w:rsidRPr="001C4D3B">
        <w:rPr>
          <w:lang w:val="es-ES_tradnl"/>
        </w:rPr>
        <w:t xml:space="preserve"> un tercio o la mitad de sus miembros anualmente, c</w:t>
      </w:r>
      <w:r>
        <w:rPr>
          <w:lang w:val="es-ES_tradnl"/>
        </w:rPr>
        <w:t>ada dos años o cada tres años. L</w:t>
      </w:r>
      <w:r w:rsidRPr="001C4D3B">
        <w:rPr>
          <w:lang w:val="es-ES_tradnl"/>
        </w:rPr>
        <w:t>as</w:t>
      </w:r>
      <w:r>
        <w:rPr>
          <w:lang w:val="es-ES_tradnl"/>
        </w:rPr>
        <w:t xml:space="preserve"> elecciones </w:t>
      </w:r>
      <w:r w:rsidRPr="00F92A8D">
        <w:rPr>
          <w:lang w:val="es-ES_tradnl"/>
        </w:rPr>
        <w:t>municipales se celebraban anualmente</w:t>
      </w:r>
      <w:r>
        <w:rPr>
          <w:lang w:val="es-ES_tradnl"/>
        </w:rPr>
        <w:t xml:space="preserve">. </w:t>
      </w:r>
      <w:r w:rsidRPr="00F92A8D">
        <w:rPr>
          <w:lang w:val="es-ES_tradnl"/>
        </w:rPr>
        <w:t>Así pues, se produjo todo un intrincado ciclo de elecciones anuales. En realidad, el número de reuniones</w:t>
      </w:r>
      <w:r w:rsidRPr="001C4D3B">
        <w:rPr>
          <w:lang w:val="es-ES_tradnl"/>
        </w:rPr>
        <w:t xml:space="preserve"> electorales a las que tuvieron que asistir </w:t>
      </w:r>
      <w:r>
        <w:rPr>
          <w:lang w:val="es-ES_tradnl"/>
        </w:rPr>
        <w:t xml:space="preserve">los </w:t>
      </w:r>
      <w:r w:rsidRPr="001C4D3B">
        <w:rPr>
          <w:lang w:val="es-ES_tradnl"/>
        </w:rPr>
        <w:t xml:space="preserve">electores sobrepasó </w:t>
      </w:r>
      <w:r>
        <w:rPr>
          <w:lang w:val="es-ES_tradnl"/>
        </w:rPr>
        <w:t>a las previstas</w:t>
      </w:r>
      <w:r w:rsidRPr="001C4D3B">
        <w:rPr>
          <w:lang w:val="es-ES_tradnl"/>
        </w:rPr>
        <w:t xml:space="preserve"> en las constituciones. </w:t>
      </w:r>
      <w:r>
        <w:rPr>
          <w:lang w:val="es-ES_tradnl"/>
        </w:rPr>
        <w:t>Las constituciones exigían</w:t>
      </w:r>
      <w:r w:rsidRPr="001C4D3B">
        <w:rPr>
          <w:lang w:val="es-ES_tradnl"/>
        </w:rPr>
        <w:t xml:space="preserve"> que se ce</w:t>
      </w:r>
      <w:r>
        <w:rPr>
          <w:lang w:val="es-ES_tradnl"/>
        </w:rPr>
        <w:t xml:space="preserve">lebraran reuniones populares </w:t>
      </w:r>
      <w:r w:rsidRPr="001C4D3B">
        <w:rPr>
          <w:lang w:val="es-ES_tradnl"/>
        </w:rPr>
        <w:t xml:space="preserve">un domingo </w:t>
      </w:r>
      <w:r>
        <w:rPr>
          <w:lang w:val="es-ES_tradnl"/>
        </w:rPr>
        <w:t>determinado</w:t>
      </w:r>
      <w:r w:rsidRPr="001C4D3B">
        <w:rPr>
          <w:lang w:val="es-ES_tradnl"/>
        </w:rPr>
        <w:t xml:space="preserve">, </w:t>
      </w:r>
      <w:r>
        <w:rPr>
          <w:lang w:val="es-ES_tradnl"/>
        </w:rPr>
        <w:t xml:space="preserve">seguidas </w:t>
      </w:r>
      <w:r w:rsidRPr="001C4D3B">
        <w:rPr>
          <w:lang w:val="es-ES_tradnl"/>
        </w:rPr>
        <w:t xml:space="preserve">de juntas de partido dos semanas o un mes después, y </w:t>
      </w:r>
      <w:r>
        <w:rPr>
          <w:lang w:val="es-ES_tradnl"/>
        </w:rPr>
        <w:t xml:space="preserve">de </w:t>
      </w:r>
      <w:r w:rsidRPr="001C4D3B">
        <w:rPr>
          <w:lang w:val="es-ES_tradnl"/>
        </w:rPr>
        <w:t xml:space="preserve">juntas de departamento dos semanas o un mes después de </w:t>
      </w:r>
      <w:r>
        <w:rPr>
          <w:lang w:val="es-ES_tradnl"/>
        </w:rPr>
        <w:t>esa fecha</w:t>
      </w:r>
      <w:r w:rsidRPr="00F92A8D">
        <w:rPr>
          <w:lang w:val="es-ES_tradnl"/>
        </w:rPr>
        <w:t xml:space="preserve">. De acuerdo con este calendario, un proceso electoral podía tardar entre uno y tres meses. Resulta interesante advertir que mientras algunos estados decretaron el final del año (noviembre y diciembre) para celebrar elecciones, otros optaron por realizarlas a principios de la primavera (enero y febrero), lo que supuso un proceso dilatado de recolección de boletas para los </w:t>
      </w:r>
      <w:r w:rsidRPr="00F92A8D">
        <w:rPr>
          <w:lang w:val="es-ES_tradnl"/>
        </w:rPr>
        <w:lastRenderedPageBreak/>
        <w:t xml:space="preserve">puestos federales (ver Tabla 1). En 1826, el Congreso Federal emitió un </w:t>
      </w:r>
      <w:proofErr w:type="gramStart"/>
      <w:r w:rsidRPr="00F92A8D">
        <w:rPr>
          <w:lang w:val="es-ES_tradnl"/>
        </w:rPr>
        <w:t>decreto  que</w:t>
      </w:r>
      <w:proofErr w:type="gramEnd"/>
      <w:r w:rsidRPr="00F92A8D">
        <w:rPr>
          <w:lang w:val="es-ES_tradnl"/>
        </w:rPr>
        <w:t xml:space="preserve"> aplicó un único calendario electoral para las elecciones federales en todos los estados</w:t>
      </w:r>
      <w:r w:rsidRPr="00F92A8D">
        <w:rPr>
          <w:rStyle w:val="FootnoteReference"/>
        </w:rPr>
        <w:footnoteReference w:id="72"/>
      </w:r>
      <w:r w:rsidRPr="00F92A8D">
        <w:rPr>
          <w:lang w:val="es-ES_tradnl"/>
        </w:rPr>
        <w:t xml:space="preserve">. Dado que los electores eran elegidos por individuos para que los representaran en elecciones específicas, </w:t>
      </w:r>
      <w:r>
        <w:rPr>
          <w:lang w:val="es-ES_tradnl"/>
        </w:rPr>
        <w:t xml:space="preserve">el sistema constitucional requería que </w:t>
      </w:r>
      <w:r w:rsidRPr="00F92A8D">
        <w:rPr>
          <w:lang w:val="es-ES_tradnl"/>
        </w:rPr>
        <w:t xml:space="preserve">los ciudadanos de un municipio </w:t>
      </w:r>
      <w:r>
        <w:rPr>
          <w:lang w:val="es-ES_tradnl"/>
        </w:rPr>
        <w:t>participen</w:t>
      </w:r>
      <w:r w:rsidRPr="00F92A8D">
        <w:rPr>
          <w:lang w:val="es-ES_tradnl"/>
        </w:rPr>
        <w:t xml:space="preserve"> en elecciones estatales </w:t>
      </w:r>
      <w:r>
        <w:rPr>
          <w:lang w:val="es-ES_tradnl"/>
        </w:rPr>
        <w:t>o</w:t>
      </w:r>
      <w:r w:rsidRPr="00F92A8D">
        <w:rPr>
          <w:lang w:val="es-ES_tradnl"/>
        </w:rPr>
        <w:t xml:space="preserve"> federales al menos anualmente. </w:t>
      </w:r>
      <w:r w:rsidRPr="00F92A8D">
        <w:rPr>
          <w:lang w:val="es-ES"/>
        </w:rPr>
        <w:t xml:space="preserve">Los electores tenían que presentarse más a menudo, sobre todo porque los ciudadanos elegían no sólo a los electores de los distritos y departamentos, sino también a los que seleccionaban a los concejales </w:t>
      </w:r>
      <w:r>
        <w:rPr>
          <w:lang w:val="es-ES"/>
        </w:rPr>
        <w:t>municipales</w:t>
      </w:r>
      <w:r w:rsidRPr="00F92A8D">
        <w:rPr>
          <w:rStyle w:val="FootnoteReference"/>
        </w:rPr>
        <w:footnoteReference w:id="73"/>
      </w:r>
      <w:r w:rsidRPr="00F92A8D">
        <w:rPr>
          <w:lang w:val="es-ES"/>
        </w:rPr>
        <w:t>.</w:t>
      </w:r>
    </w:p>
    <w:p w14:paraId="40F67398" w14:textId="77777777" w:rsidR="00936C95" w:rsidRPr="001C4D3B" w:rsidRDefault="00936C95" w:rsidP="001C4D3B">
      <w:pPr>
        <w:spacing w:line="360" w:lineRule="auto"/>
        <w:ind w:firstLine="284"/>
        <w:jc w:val="both"/>
        <w:rPr>
          <w:b/>
          <w:lang w:val="es-ES_tradnl"/>
        </w:rPr>
      </w:pPr>
    </w:p>
    <w:p w14:paraId="49BD650F" w14:textId="77777777" w:rsidR="00936C95" w:rsidRDefault="00936C95" w:rsidP="001C4D3B">
      <w:pPr>
        <w:spacing w:line="360" w:lineRule="auto"/>
        <w:ind w:firstLine="284"/>
        <w:jc w:val="center"/>
        <w:rPr>
          <w:b/>
          <w:lang w:val="es-ES"/>
        </w:rPr>
      </w:pPr>
      <w:r>
        <w:rPr>
          <w:b/>
          <w:lang w:val="es-ES"/>
        </w:rPr>
        <w:t>Tabla 1</w:t>
      </w:r>
    </w:p>
    <w:p w14:paraId="01DADE4C" w14:textId="77777777" w:rsidR="00936C95" w:rsidRPr="001C4D3B" w:rsidRDefault="00936C95" w:rsidP="001C4D3B">
      <w:pPr>
        <w:spacing w:line="360" w:lineRule="auto"/>
        <w:ind w:firstLine="284"/>
        <w:jc w:val="center"/>
        <w:rPr>
          <w:b/>
          <w:lang w:val="es-ES"/>
        </w:rPr>
      </w:pPr>
      <w:r w:rsidRPr="001C4D3B">
        <w:rPr>
          <w:b/>
          <w:lang w:val="es-ES"/>
        </w:rPr>
        <w:t>Calendario Electoral Oficial, Período Federal, 1824-1839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767"/>
        <w:gridCol w:w="1528"/>
        <w:gridCol w:w="1608"/>
        <w:gridCol w:w="1505"/>
        <w:gridCol w:w="1607"/>
      </w:tblGrid>
      <w:tr w:rsidR="00936C95" w:rsidRPr="001C4D3B" w14:paraId="2ED485FD" w14:textId="77777777" w:rsidTr="00A72E65">
        <w:tc>
          <w:tcPr>
            <w:tcW w:w="716" w:type="pct"/>
          </w:tcPr>
          <w:p w14:paraId="448EC806" w14:textId="77777777" w:rsidR="00936C95" w:rsidRPr="00A72E65" w:rsidRDefault="00936C95" w:rsidP="001C4D3B">
            <w:pPr>
              <w:spacing w:line="360" w:lineRule="auto"/>
              <w:ind w:firstLine="284"/>
              <w:jc w:val="both"/>
              <w:rPr>
                <w:b/>
                <w:sz w:val="20"/>
                <w:szCs w:val="20"/>
                <w:lang w:val="es-ES"/>
              </w:rPr>
            </w:pPr>
          </w:p>
        </w:tc>
        <w:tc>
          <w:tcPr>
            <w:tcW w:w="947" w:type="pct"/>
          </w:tcPr>
          <w:p w14:paraId="349C73C9" w14:textId="77777777" w:rsidR="00936C95" w:rsidRPr="00A72E65" w:rsidRDefault="00936C95" w:rsidP="001C4D3B">
            <w:pPr>
              <w:spacing w:line="360" w:lineRule="auto"/>
              <w:ind w:firstLine="284"/>
              <w:jc w:val="both"/>
              <w:rPr>
                <w:b/>
                <w:sz w:val="20"/>
                <w:szCs w:val="20"/>
              </w:rPr>
            </w:pPr>
            <w:r w:rsidRPr="00A72E65">
              <w:rPr>
                <w:b/>
                <w:sz w:val="20"/>
                <w:szCs w:val="20"/>
              </w:rPr>
              <w:t>Junta popular</w:t>
            </w:r>
          </w:p>
        </w:tc>
        <w:tc>
          <w:tcPr>
            <w:tcW w:w="807" w:type="pct"/>
          </w:tcPr>
          <w:p w14:paraId="7112BC2F" w14:textId="77777777" w:rsidR="00936C95" w:rsidRPr="00A72E65" w:rsidRDefault="00936C95" w:rsidP="001C4D3B">
            <w:pPr>
              <w:spacing w:line="360" w:lineRule="auto"/>
              <w:ind w:firstLine="284"/>
              <w:jc w:val="both"/>
              <w:rPr>
                <w:b/>
                <w:sz w:val="20"/>
                <w:szCs w:val="20"/>
              </w:rPr>
            </w:pPr>
            <w:r w:rsidRPr="00A72E65">
              <w:rPr>
                <w:b/>
                <w:sz w:val="20"/>
                <w:szCs w:val="20"/>
              </w:rPr>
              <w:t xml:space="preserve">Junta de </w:t>
            </w:r>
            <w:proofErr w:type="spellStart"/>
            <w:r w:rsidRPr="00A72E65">
              <w:rPr>
                <w:b/>
                <w:sz w:val="20"/>
                <w:szCs w:val="20"/>
              </w:rPr>
              <w:t>distrito</w:t>
            </w:r>
            <w:proofErr w:type="spellEnd"/>
            <w:r w:rsidRPr="00A72E65">
              <w:rPr>
                <w:b/>
                <w:sz w:val="20"/>
                <w:szCs w:val="20"/>
              </w:rPr>
              <w:t>/</w:t>
            </w:r>
            <w:proofErr w:type="spellStart"/>
            <w:r w:rsidRPr="00A72E65">
              <w:rPr>
                <w:b/>
                <w:sz w:val="20"/>
                <w:szCs w:val="20"/>
              </w:rPr>
              <w:t>partido</w:t>
            </w:r>
            <w:proofErr w:type="spellEnd"/>
          </w:p>
        </w:tc>
        <w:tc>
          <w:tcPr>
            <w:tcW w:w="861" w:type="pct"/>
          </w:tcPr>
          <w:p w14:paraId="76CA52ED" w14:textId="77777777" w:rsidR="00936C95" w:rsidRPr="00A72E65" w:rsidRDefault="00936C95" w:rsidP="001C4D3B">
            <w:pPr>
              <w:spacing w:line="360" w:lineRule="auto"/>
              <w:ind w:firstLine="284"/>
              <w:jc w:val="both"/>
              <w:rPr>
                <w:b/>
                <w:sz w:val="20"/>
                <w:szCs w:val="20"/>
              </w:rPr>
            </w:pPr>
            <w:r w:rsidRPr="00A72E65">
              <w:rPr>
                <w:b/>
                <w:sz w:val="20"/>
                <w:szCs w:val="20"/>
              </w:rPr>
              <w:t xml:space="preserve">Junta de </w:t>
            </w:r>
            <w:proofErr w:type="spellStart"/>
            <w:r w:rsidRPr="00A72E65">
              <w:rPr>
                <w:b/>
                <w:sz w:val="20"/>
                <w:szCs w:val="20"/>
              </w:rPr>
              <w:t>departamento</w:t>
            </w:r>
            <w:proofErr w:type="spellEnd"/>
          </w:p>
        </w:tc>
        <w:tc>
          <w:tcPr>
            <w:tcW w:w="807" w:type="pct"/>
          </w:tcPr>
          <w:p w14:paraId="4ADC580A" w14:textId="77777777" w:rsidR="00936C95" w:rsidRPr="00A72E65" w:rsidRDefault="00936C95" w:rsidP="001C4D3B">
            <w:pPr>
              <w:spacing w:line="360" w:lineRule="auto"/>
              <w:ind w:firstLine="284"/>
              <w:jc w:val="both"/>
              <w:rPr>
                <w:b/>
                <w:sz w:val="20"/>
                <w:szCs w:val="20"/>
              </w:rPr>
            </w:pPr>
            <w:proofErr w:type="spellStart"/>
            <w:r w:rsidRPr="00A72E65">
              <w:rPr>
                <w:b/>
                <w:sz w:val="20"/>
                <w:szCs w:val="20"/>
              </w:rPr>
              <w:t>Sesiones</w:t>
            </w:r>
            <w:proofErr w:type="spellEnd"/>
            <w:r w:rsidRPr="00A72E65">
              <w:rPr>
                <w:b/>
                <w:sz w:val="20"/>
                <w:szCs w:val="20"/>
              </w:rPr>
              <w:t xml:space="preserve"> del </w:t>
            </w:r>
            <w:proofErr w:type="spellStart"/>
            <w:r w:rsidRPr="00A72E65">
              <w:rPr>
                <w:b/>
                <w:sz w:val="20"/>
                <w:szCs w:val="20"/>
              </w:rPr>
              <w:t>Congreso</w:t>
            </w:r>
            <w:proofErr w:type="spellEnd"/>
            <w:r w:rsidRPr="00A72E65">
              <w:rPr>
                <w:b/>
                <w:sz w:val="20"/>
                <w:szCs w:val="20"/>
              </w:rPr>
              <w:t xml:space="preserve"> *</w:t>
            </w:r>
          </w:p>
        </w:tc>
        <w:tc>
          <w:tcPr>
            <w:tcW w:w="861" w:type="pct"/>
          </w:tcPr>
          <w:p w14:paraId="022A60E9" w14:textId="77777777" w:rsidR="00936C95" w:rsidRPr="00A72E65" w:rsidRDefault="00936C95" w:rsidP="001C4D3B">
            <w:pPr>
              <w:spacing w:line="360" w:lineRule="auto"/>
              <w:ind w:firstLine="284"/>
              <w:jc w:val="both"/>
              <w:rPr>
                <w:b/>
                <w:sz w:val="20"/>
                <w:szCs w:val="20"/>
              </w:rPr>
            </w:pPr>
            <w:r w:rsidRPr="00A72E65">
              <w:rPr>
                <w:b/>
                <w:sz w:val="20"/>
                <w:szCs w:val="20"/>
              </w:rPr>
              <w:t>Constitution</w:t>
            </w:r>
          </w:p>
        </w:tc>
      </w:tr>
      <w:tr w:rsidR="00936C95" w:rsidRPr="00A72E65" w14:paraId="66DA4027" w14:textId="77777777" w:rsidTr="00A72E65">
        <w:tc>
          <w:tcPr>
            <w:tcW w:w="716" w:type="pct"/>
          </w:tcPr>
          <w:p w14:paraId="2A250F5C" w14:textId="77777777" w:rsidR="00936C95" w:rsidRPr="00A72E65" w:rsidRDefault="00936C95" w:rsidP="00A72E65">
            <w:pPr>
              <w:spacing w:line="360" w:lineRule="auto"/>
              <w:jc w:val="both"/>
              <w:rPr>
                <w:sz w:val="20"/>
                <w:szCs w:val="20"/>
              </w:rPr>
            </w:pPr>
            <w:proofErr w:type="spellStart"/>
            <w:r w:rsidRPr="00A72E65">
              <w:rPr>
                <w:sz w:val="20"/>
                <w:szCs w:val="20"/>
              </w:rPr>
              <w:t>Federación</w:t>
            </w:r>
            <w:proofErr w:type="spellEnd"/>
          </w:p>
        </w:tc>
        <w:tc>
          <w:tcPr>
            <w:tcW w:w="947" w:type="pct"/>
          </w:tcPr>
          <w:p w14:paraId="6ACAFBBC" w14:textId="77777777" w:rsidR="00936C95" w:rsidRPr="00A72E65" w:rsidRDefault="00936C95" w:rsidP="00A72E65">
            <w:pPr>
              <w:spacing w:line="360" w:lineRule="auto"/>
              <w:jc w:val="both"/>
              <w:rPr>
                <w:sz w:val="20"/>
                <w:szCs w:val="20"/>
                <w:lang w:val="es-ES"/>
              </w:rPr>
            </w:pPr>
            <w:r w:rsidRPr="00A72E65">
              <w:rPr>
                <w:sz w:val="20"/>
                <w:szCs w:val="20"/>
                <w:lang w:val="es-ES"/>
              </w:rPr>
              <w:t>1er. domingo en octubre</w:t>
            </w:r>
          </w:p>
        </w:tc>
        <w:tc>
          <w:tcPr>
            <w:tcW w:w="807" w:type="pct"/>
          </w:tcPr>
          <w:p w14:paraId="082847CC" w14:textId="77777777" w:rsidR="00936C95" w:rsidRPr="00A72E65" w:rsidRDefault="00936C95" w:rsidP="00A72E65">
            <w:pPr>
              <w:spacing w:line="360" w:lineRule="auto"/>
              <w:jc w:val="both"/>
              <w:rPr>
                <w:sz w:val="20"/>
                <w:szCs w:val="20"/>
                <w:lang w:val="es-ES"/>
              </w:rPr>
            </w:pPr>
            <w:r>
              <w:rPr>
                <w:sz w:val="20"/>
                <w:szCs w:val="20"/>
                <w:lang w:val="es-ES"/>
              </w:rPr>
              <w:t>2</w:t>
            </w:r>
            <w:r w:rsidRPr="00A72E65">
              <w:rPr>
                <w:sz w:val="20"/>
                <w:szCs w:val="20"/>
                <w:lang w:val="es-ES"/>
              </w:rPr>
              <w:t>do</w:t>
            </w:r>
            <w:r>
              <w:rPr>
                <w:sz w:val="20"/>
                <w:szCs w:val="20"/>
                <w:lang w:val="es-ES"/>
              </w:rPr>
              <w:t>.</w:t>
            </w:r>
            <w:r w:rsidRPr="00A72E65">
              <w:rPr>
                <w:sz w:val="20"/>
                <w:szCs w:val="20"/>
                <w:lang w:val="es-ES"/>
              </w:rPr>
              <w:t xml:space="preserve"> domingo, noviembre</w:t>
            </w:r>
          </w:p>
        </w:tc>
        <w:tc>
          <w:tcPr>
            <w:tcW w:w="861" w:type="pct"/>
          </w:tcPr>
          <w:p w14:paraId="0C571130" w14:textId="77777777" w:rsidR="00936C95" w:rsidRPr="00A72E65" w:rsidRDefault="00936C95" w:rsidP="00A72E65">
            <w:pPr>
              <w:spacing w:line="360" w:lineRule="auto"/>
              <w:jc w:val="both"/>
              <w:rPr>
                <w:sz w:val="20"/>
                <w:szCs w:val="20"/>
                <w:lang w:val="es-ES"/>
              </w:rPr>
            </w:pPr>
            <w:r>
              <w:rPr>
                <w:sz w:val="20"/>
                <w:szCs w:val="20"/>
                <w:lang w:val="es-ES"/>
              </w:rPr>
              <w:t xml:space="preserve">1 </w:t>
            </w:r>
            <w:r w:rsidRPr="00A72E65">
              <w:rPr>
                <w:sz w:val="20"/>
                <w:szCs w:val="20"/>
                <w:lang w:val="es-ES"/>
              </w:rPr>
              <w:t>domingo, diciembre</w:t>
            </w:r>
          </w:p>
        </w:tc>
        <w:tc>
          <w:tcPr>
            <w:tcW w:w="807" w:type="pct"/>
          </w:tcPr>
          <w:p w14:paraId="033B1B22" w14:textId="77777777" w:rsidR="00936C95" w:rsidRPr="00A72E65" w:rsidRDefault="00936C95" w:rsidP="00A72E65">
            <w:pPr>
              <w:spacing w:line="360" w:lineRule="auto"/>
              <w:jc w:val="both"/>
              <w:rPr>
                <w:sz w:val="20"/>
                <w:szCs w:val="20"/>
                <w:lang w:val="es-ES"/>
              </w:rPr>
            </w:pPr>
            <w:r w:rsidRPr="00A72E65">
              <w:rPr>
                <w:sz w:val="20"/>
                <w:szCs w:val="20"/>
                <w:lang w:val="es-ES"/>
              </w:rPr>
              <w:t>1 marzo, 3 meses</w:t>
            </w:r>
          </w:p>
        </w:tc>
        <w:tc>
          <w:tcPr>
            <w:tcW w:w="861" w:type="pct"/>
          </w:tcPr>
          <w:p w14:paraId="0D8C9FC7" w14:textId="77777777" w:rsidR="00936C95" w:rsidRPr="00A72E65" w:rsidRDefault="00936C95" w:rsidP="00A72E65">
            <w:pPr>
              <w:spacing w:line="360" w:lineRule="auto"/>
              <w:jc w:val="both"/>
              <w:rPr>
                <w:sz w:val="20"/>
                <w:szCs w:val="20"/>
                <w:lang w:val="es-ES"/>
              </w:rPr>
            </w:pPr>
            <w:r w:rsidRPr="00A72E65">
              <w:rPr>
                <w:sz w:val="20"/>
                <w:szCs w:val="20"/>
                <w:lang w:val="es-ES"/>
              </w:rPr>
              <w:t>1824, Art 29, 66, 67</w:t>
            </w:r>
          </w:p>
        </w:tc>
      </w:tr>
      <w:tr w:rsidR="00936C95" w:rsidRPr="001C4D3B" w14:paraId="4ABA376D" w14:textId="77777777" w:rsidTr="00A72E65">
        <w:tc>
          <w:tcPr>
            <w:tcW w:w="716" w:type="pct"/>
          </w:tcPr>
          <w:p w14:paraId="5DDC051D" w14:textId="77777777" w:rsidR="00936C95" w:rsidRPr="00A72E65" w:rsidRDefault="00936C95" w:rsidP="00A72E65">
            <w:pPr>
              <w:spacing w:line="360" w:lineRule="auto"/>
              <w:jc w:val="both"/>
              <w:rPr>
                <w:sz w:val="20"/>
                <w:szCs w:val="20"/>
                <w:lang w:val="es-ES"/>
              </w:rPr>
            </w:pPr>
            <w:r w:rsidRPr="00A72E65">
              <w:rPr>
                <w:sz w:val="20"/>
                <w:szCs w:val="20"/>
                <w:lang w:val="es-ES"/>
              </w:rPr>
              <w:t>Guatemala</w:t>
            </w:r>
          </w:p>
        </w:tc>
        <w:tc>
          <w:tcPr>
            <w:tcW w:w="2616" w:type="pct"/>
            <w:gridSpan w:val="3"/>
          </w:tcPr>
          <w:p w14:paraId="5CBD076B" w14:textId="77777777" w:rsidR="00936C95" w:rsidRPr="00A72E65" w:rsidRDefault="00936C95" w:rsidP="001C4D3B">
            <w:pPr>
              <w:spacing w:line="360" w:lineRule="auto"/>
              <w:ind w:firstLine="284"/>
              <w:jc w:val="both"/>
              <w:rPr>
                <w:sz w:val="20"/>
                <w:szCs w:val="20"/>
                <w:lang w:val="es-ES_tradnl"/>
              </w:rPr>
            </w:pPr>
            <w:r w:rsidRPr="00A72E65">
              <w:rPr>
                <w:sz w:val="20"/>
                <w:szCs w:val="20"/>
                <w:lang w:val="es-ES_tradnl"/>
              </w:rPr>
              <w:t>Mismas juntas, fechas, que el calendario federal</w:t>
            </w:r>
          </w:p>
        </w:tc>
        <w:tc>
          <w:tcPr>
            <w:tcW w:w="807" w:type="pct"/>
          </w:tcPr>
          <w:p w14:paraId="5AD28490" w14:textId="77777777" w:rsidR="00936C95" w:rsidRPr="00A72E65" w:rsidRDefault="00936C95" w:rsidP="00A72E65">
            <w:pPr>
              <w:spacing w:line="360" w:lineRule="auto"/>
              <w:jc w:val="both"/>
              <w:rPr>
                <w:sz w:val="20"/>
                <w:szCs w:val="20"/>
              </w:rPr>
            </w:pPr>
            <w:r w:rsidRPr="00A72E65">
              <w:rPr>
                <w:sz w:val="20"/>
                <w:szCs w:val="20"/>
                <w:lang w:val="es-ES"/>
              </w:rPr>
              <w:t xml:space="preserve">1 </w:t>
            </w:r>
            <w:proofErr w:type="spellStart"/>
            <w:r w:rsidRPr="00A72E65">
              <w:rPr>
                <w:sz w:val="20"/>
                <w:szCs w:val="20"/>
                <w:lang w:val="es-ES"/>
              </w:rPr>
              <w:t>febrer</w:t>
            </w:r>
            <w:proofErr w:type="spellEnd"/>
            <w:r w:rsidRPr="00A72E65">
              <w:rPr>
                <w:sz w:val="20"/>
                <w:szCs w:val="20"/>
              </w:rPr>
              <w:t>o, 3 meses</w:t>
            </w:r>
          </w:p>
        </w:tc>
        <w:tc>
          <w:tcPr>
            <w:tcW w:w="861" w:type="pct"/>
          </w:tcPr>
          <w:p w14:paraId="59346958" w14:textId="77777777" w:rsidR="00936C95" w:rsidRPr="00A72E65" w:rsidRDefault="00936C95" w:rsidP="00A72E65">
            <w:pPr>
              <w:spacing w:line="360" w:lineRule="auto"/>
              <w:jc w:val="both"/>
              <w:rPr>
                <w:sz w:val="20"/>
                <w:szCs w:val="20"/>
              </w:rPr>
            </w:pPr>
            <w:r w:rsidRPr="00A72E65">
              <w:rPr>
                <w:sz w:val="20"/>
                <w:szCs w:val="20"/>
              </w:rPr>
              <w:t>1825, Art 52.</w:t>
            </w:r>
          </w:p>
        </w:tc>
      </w:tr>
      <w:tr w:rsidR="00936C95" w:rsidRPr="00A72E65" w14:paraId="397EE3BF" w14:textId="77777777" w:rsidTr="00A72E65">
        <w:tc>
          <w:tcPr>
            <w:tcW w:w="716" w:type="pct"/>
          </w:tcPr>
          <w:p w14:paraId="64ED1DFF" w14:textId="77777777" w:rsidR="00936C95" w:rsidRPr="00A72E65" w:rsidRDefault="00936C95" w:rsidP="00A72E65">
            <w:pPr>
              <w:spacing w:line="360" w:lineRule="auto"/>
              <w:jc w:val="both"/>
              <w:rPr>
                <w:sz w:val="20"/>
                <w:szCs w:val="20"/>
              </w:rPr>
            </w:pPr>
            <w:r w:rsidRPr="00A72E65">
              <w:rPr>
                <w:sz w:val="20"/>
                <w:szCs w:val="20"/>
              </w:rPr>
              <w:t>El Salvador</w:t>
            </w:r>
          </w:p>
        </w:tc>
        <w:tc>
          <w:tcPr>
            <w:tcW w:w="947" w:type="pct"/>
          </w:tcPr>
          <w:p w14:paraId="77A4B1D3" w14:textId="77777777" w:rsidR="00936C95" w:rsidRPr="00A72E65" w:rsidRDefault="00936C95" w:rsidP="00A72E65">
            <w:pPr>
              <w:spacing w:line="360" w:lineRule="auto"/>
              <w:jc w:val="both"/>
              <w:rPr>
                <w:sz w:val="20"/>
                <w:szCs w:val="20"/>
                <w:lang w:val="es-ES"/>
              </w:rPr>
            </w:pPr>
            <w:r w:rsidRPr="00A72E65">
              <w:rPr>
                <w:sz w:val="20"/>
                <w:szCs w:val="20"/>
                <w:lang w:val="es-ES"/>
              </w:rPr>
              <w:t>1er. domingo en octubre</w:t>
            </w:r>
          </w:p>
        </w:tc>
        <w:tc>
          <w:tcPr>
            <w:tcW w:w="807" w:type="pct"/>
          </w:tcPr>
          <w:p w14:paraId="0446E4F7" w14:textId="77777777" w:rsidR="00936C95" w:rsidRPr="00A72E65" w:rsidRDefault="00936C95" w:rsidP="00A72E65">
            <w:pPr>
              <w:spacing w:line="360" w:lineRule="auto"/>
              <w:jc w:val="both"/>
              <w:rPr>
                <w:sz w:val="20"/>
                <w:szCs w:val="20"/>
                <w:lang w:val="es-ES"/>
              </w:rPr>
            </w:pPr>
            <w:r>
              <w:rPr>
                <w:sz w:val="20"/>
                <w:szCs w:val="20"/>
                <w:lang w:val="es-ES"/>
              </w:rPr>
              <w:t>3er.</w:t>
            </w:r>
            <w:r w:rsidRPr="00A72E65">
              <w:rPr>
                <w:sz w:val="20"/>
                <w:szCs w:val="20"/>
                <w:lang w:val="es-ES"/>
              </w:rPr>
              <w:t xml:space="preserve"> domingo en octubre</w:t>
            </w:r>
          </w:p>
        </w:tc>
        <w:tc>
          <w:tcPr>
            <w:tcW w:w="861" w:type="pct"/>
          </w:tcPr>
          <w:p w14:paraId="2ECA8E34" w14:textId="77777777" w:rsidR="00936C95" w:rsidRPr="00A72E65" w:rsidRDefault="00936C95" w:rsidP="00A72E65">
            <w:pPr>
              <w:spacing w:line="360" w:lineRule="auto"/>
              <w:jc w:val="both"/>
              <w:rPr>
                <w:sz w:val="20"/>
                <w:szCs w:val="20"/>
                <w:lang w:val="es-ES"/>
              </w:rPr>
            </w:pPr>
            <w:r>
              <w:rPr>
                <w:sz w:val="20"/>
                <w:szCs w:val="20"/>
                <w:lang w:val="es-ES"/>
              </w:rPr>
              <w:t>2</w:t>
            </w:r>
            <w:r w:rsidRPr="00A72E65">
              <w:rPr>
                <w:sz w:val="20"/>
                <w:szCs w:val="20"/>
                <w:lang w:val="es-ES"/>
              </w:rPr>
              <w:t>do</w:t>
            </w:r>
            <w:r>
              <w:rPr>
                <w:sz w:val="20"/>
                <w:szCs w:val="20"/>
                <w:lang w:val="es-ES"/>
              </w:rPr>
              <w:t>.</w:t>
            </w:r>
            <w:r w:rsidRPr="00A72E65">
              <w:rPr>
                <w:sz w:val="20"/>
                <w:szCs w:val="20"/>
                <w:lang w:val="es-ES"/>
              </w:rPr>
              <w:t xml:space="preserve"> domingo, noviembre</w:t>
            </w:r>
          </w:p>
        </w:tc>
        <w:tc>
          <w:tcPr>
            <w:tcW w:w="807" w:type="pct"/>
          </w:tcPr>
          <w:p w14:paraId="2BBE3CC1" w14:textId="77777777" w:rsidR="00936C95" w:rsidRPr="00A72E65" w:rsidRDefault="00936C95" w:rsidP="00A72E65">
            <w:pPr>
              <w:spacing w:line="360" w:lineRule="auto"/>
              <w:jc w:val="both"/>
              <w:rPr>
                <w:sz w:val="20"/>
                <w:szCs w:val="20"/>
                <w:lang w:val="es-ES"/>
              </w:rPr>
            </w:pPr>
            <w:r w:rsidRPr="00A72E65">
              <w:rPr>
                <w:sz w:val="20"/>
                <w:szCs w:val="20"/>
                <w:lang w:val="es-ES"/>
              </w:rPr>
              <w:t>2 enero; 60-90 días</w:t>
            </w:r>
          </w:p>
        </w:tc>
        <w:tc>
          <w:tcPr>
            <w:tcW w:w="861" w:type="pct"/>
          </w:tcPr>
          <w:p w14:paraId="3C2D861D" w14:textId="77777777" w:rsidR="00936C95" w:rsidRPr="00A72E65" w:rsidRDefault="00936C95" w:rsidP="00A72E65">
            <w:pPr>
              <w:spacing w:line="360" w:lineRule="auto"/>
              <w:jc w:val="both"/>
              <w:rPr>
                <w:sz w:val="20"/>
                <w:szCs w:val="20"/>
                <w:lang w:val="es-ES"/>
              </w:rPr>
            </w:pPr>
            <w:r w:rsidRPr="00A72E65">
              <w:rPr>
                <w:sz w:val="20"/>
                <w:szCs w:val="20"/>
                <w:lang w:val="es-ES"/>
              </w:rPr>
              <w:t>1824, Art 15, 18</w:t>
            </w:r>
          </w:p>
        </w:tc>
      </w:tr>
      <w:tr w:rsidR="00936C95" w:rsidRPr="00A72E65" w14:paraId="5FD1F0AB" w14:textId="77777777" w:rsidTr="00A72E65">
        <w:tc>
          <w:tcPr>
            <w:tcW w:w="716" w:type="pct"/>
          </w:tcPr>
          <w:p w14:paraId="53F3EEBA" w14:textId="77777777" w:rsidR="00936C95" w:rsidRPr="00A72E65" w:rsidRDefault="00936C95" w:rsidP="00A72E65">
            <w:pPr>
              <w:spacing w:line="360" w:lineRule="auto"/>
              <w:jc w:val="both"/>
              <w:rPr>
                <w:sz w:val="20"/>
                <w:szCs w:val="20"/>
                <w:lang w:val="es-ES"/>
              </w:rPr>
            </w:pPr>
            <w:r w:rsidRPr="00A72E65">
              <w:rPr>
                <w:sz w:val="20"/>
                <w:szCs w:val="20"/>
                <w:lang w:val="es-ES"/>
              </w:rPr>
              <w:t>Honduras</w:t>
            </w:r>
          </w:p>
        </w:tc>
        <w:tc>
          <w:tcPr>
            <w:tcW w:w="2616" w:type="pct"/>
            <w:gridSpan w:val="3"/>
          </w:tcPr>
          <w:p w14:paraId="501A3554" w14:textId="77777777" w:rsidR="00936C95" w:rsidRPr="00A72E65" w:rsidRDefault="00936C95" w:rsidP="00A72E65">
            <w:pPr>
              <w:spacing w:line="360" w:lineRule="auto"/>
              <w:jc w:val="both"/>
              <w:rPr>
                <w:sz w:val="20"/>
                <w:szCs w:val="20"/>
                <w:lang w:val="es-ES_tradnl"/>
              </w:rPr>
            </w:pPr>
            <w:r w:rsidRPr="00A72E65">
              <w:rPr>
                <w:sz w:val="20"/>
                <w:szCs w:val="20"/>
                <w:lang w:val="es-ES_tradnl"/>
              </w:rPr>
              <w:t>Fechas federales para elecciones estatales</w:t>
            </w:r>
          </w:p>
        </w:tc>
        <w:tc>
          <w:tcPr>
            <w:tcW w:w="807" w:type="pct"/>
          </w:tcPr>
          <w:p w14:paraId="187CB69A" w14:textId="77777777" w:rsidR="00936C95" w:rsidRPr="00A72E65" w:rsidRDefault="00936C95" w:rsidP="001C4D3B">
            <w:pPr>
              <w:spacing w:line="360" w:lineRule="auto"/>
              <w:ind w:firstLine="284"/>
              <w:jc w:val="both"/>
              <w:rPr>
                <w:sz w:val="20"/>
                <w:szCs w:val="20"/>
                <w:lang w:val="es-ES_tradnl"/>
              </w:rPr>
            </w:pPr>
          </w:p>
        </w:tc>
        <w:tc>
          <w:tcPr>
            <w:tcW w:w="861" w:type="pct"/>
          </w:tcPr>
          <w:p w14:paraId="0375F8AF" w14:textId="77777777" w:rsidR="00936C95" w:rsidRPr="00A72E65" w:rsidRDefault="00936C95" w:rsidP="00A72E65">
            <w:pPr>
              <w:spacing w:line="360" w:lineRule="auto"/>
              <w:jc w:val="both"/>
              <w:rPr>
                <w:sz w:val="20"/>
                <w:szCs w:val="20"/>
                <w:lang w:val="es-ES"/>
              </w:rPr>
            </w:pPr>
            <w:r w:rsidRPr="00A72E65">
              <w:rPr>
                <w:sz w:val="20"/>
                <w:szCs w:val="20"/>
                <w:lang w:val="es-ES"/>
              </w:rPr>
              <w:t>1825, Art 14, 15</w:t>
            </w:r>
          </w:p>
        </w:tc>
      </w:tr>
      <w:tr w:rsidR="00936C95" w:rsidRPr="001C4D3B" w14:paraId="6124EC80" w14:textId="77777777" w:rsidTr="00A72E65">
        <w:tc>
          <w:tcPr>
            <w:tcW w:w="716" w:type="pct"/>
          </w:tcPr>
          <w:p w14:paraId="140AB893" w14:textId="77777777" w:rsidR="00936C95" w:rsidRPr="00A72E65" w:rsidRDefault="00936C95" w:rsidP="00A72E65">
            <w:pPr>
              <w:spacing w:line="360" w:lineRule="auto"/>
              <w:jc w:val="both"/>
              <w:rPr>
                <w:sz w:val="20"/>
                <w:szCs w:val="20"/>
                <w:lang w:val="es-ES"/>
              </w:rPr>
            </w:pPr>
            <w:r w:rsidRPr="00A72E65">
              <w:rPr>
                <w:sz w:val="20"/>
                <w:szCs w:val="20"/>
                <w:lang w:val="es-ES"/>
              </w:rPr>
              <w:t>Nicaragua</w:t>
            </w:r>
          </w:p>
        </w:tc>
        <w:tc>
          <w:tcPr>
            <w:tcW w:w="2616" w:type="pct"/>
            <w:gridSpan w:val="3"/>
          </w:tcPr>
          <w:p w14:paraId="7A579AD1" w14:textId="77777777" w:rsidR="00936C95" w:rsidRPr="00A72E65" w:rsidRDefault="00936C95" w:rsidP="00A72E65">
            <w:pPr>
              <w:spacing w:line="360" w:lineRule="auto"/>
              <w:jc w:val="both"/>
              <w:rPr>
                <w:sz w:val="20"/>
                <w:szCs w:val="20"/>
                <w:lang w:val="es-ES_tradnl"/>
              </w:rPr>
            </w:pPr>
            <w:r w:rsidRPr="00A72E65">
              <w:rPr>
                <w:sz w:val="20"/>
                <w:szCs w:val="20"/>
                <w:lang w:val="es-ES_tradnl"/>
              </w:rPr>
              <w:t xml:space="preserve">Fechas federales para elecciones estatales; </w:t>
            </w:r>
            <w:proofErr w:type="spellStart"/>
            <w:r w:rsidRPr="00A72E65">
              <w:rPr>
                <w:sz w:val="20"/>
                <w:szCs w:val="20"/>
                <w:lang w:val="es-ES_tradnl"/>
              </w:rPr>
              <w:t>eleccion</w:t>
            </w:r>
            <w:proofErr w:type="spellEnd"/>
            <w:r w:rsidRPr="00A72E65">
              <w:rPr>
                <w:sz w:val="20"/>
                <w:szCs w:val="20"/>
                <w:lang w:val="es-ES_tradnl"/>
              </w:rPr>
              <w:t xml:space="preserve"> para el Jefe de Estado el día después de las elecciones federales en la Junta de departamento</w:t>
            </w:r>
          </w:p>
          <w:p w14:paraId="0DDB45B4" w14:textId="77777777" w:rsidR="00936C95" w:rsidRPr="00A72E65" w:rsidRDefault="00936C95" w:rsidP="001C4D3B">
            <w:pPr>
              <w:spacing w:line="360" w:lineRule="auto"/>
              <w:ind w:firstLine="284"/>
              <w:jc w:val="both"/>
              <w:rPr>
                <w:sz w:val="20"/>
                <w:szCs w:val="20"/>
                <w:lang w:val="es-ES_tradnl"/>
              </w:rPr>
            </w:pPr>
          </w:p>
        </w:tc>
        <w:tc>
          <w:tcPr>
            <w:tcW w:w="807" w:type="pct"/>
          </w:tcPr>
          <w:p w14:paraId="300DD4F2" w14:textId="77777777" w:rsidR="00936C95" w:rsidRPr="00A72E65" w:rsidRDefault="00936C95" w:rsidP="00A72E65">
            <w:pPr>
              <w:spacing w:line="360" w:lineRule="auto"/>
              <w:jc w:val="both"/>
              <w:rPr>
                <w:sz w:val="20"/>
                <w:szCs w:val="20"/>
              </w:rPr>
            </w:pPr>
            <w:r w:rsidRPr="00A72E65">
              <w:rPr>
                <w:sz w:val="20"/>
                <w:szCs w:val="20"/>
              </w:rPr>
              <w:t xml:space="preserve">15 de </w:t>
            </w:r>
            <w:proofErr w:type="spellStart"/>
            <w:r w:rsidRPr="00A72E65">
              <w:rPr>
                <w:sz w:val="20"/>
                <w:szCs w:val="20"/>
              </w:rPr>
              <w:t>enero</w:t>
            </w:r>
            <w:proofErr w:type="spellEnd"/>
            <w:r w:rsidRPr="00A72E65">
              <w:rPr>
                <w:sz w:val="20"/>
                <w:szCs w:val="20"/>
              </w:rPr>
              <w:t>, 3 meses</w:t>
            </w:r>
          </w:p>
        </w:tc>
        <w:tc>
          <w:tcPr>
            <w:tcW w:w="861" w:type="pct"/>
          </w:tcPr>
          <w:p w14:paraId="1DAF177E" w14:textId="77777777" w:rsidR="00936C95" w:rsidRPr="00A72E65" w:rsidRDefault="00936C95" w:rsidP="00A72E65">
            <w:pPr>
              <w:spacing w:line="360" w:lineRule="auto"/>
              <w:jc w:val="both"/>
              <w:rPr>
                <w:sz w:val="20"/>
                <w:szCs w:val="20"/>
              </w:rPr>
            </w:pPr>
            <w:r w:rsidRPr="00A72E65">
              <w:rPr>
                <w:sz w:val="20"/>
                <w:szCs w:val="20"/>
              </w:rPr>
              <w:t>1826, Art. 49, 78, 101</w:t>
            </w:r>
          </w:p>
        </w:tc>
      </w:tr>
      <w:tr w:rsidR="00936C95" w:rsidRPr="00A72E65" w14:paraId="5D524664" w14:textId="77777777" w:rsidTr="00A72E65">
        <w:tc>
          <w:tcPr>
            <w:tcW w:w="716" w:type="pct"/>
          </w:tcPr>
          <w:p w14:paraId="6091DF63" w14:textId="77777777" w:rsidR="00936C95" w:rsidRPr="00A72E65" w:rsidRDefault="00936C95" w:rsidP="00A72E65">
            <w:pPr>
              <w:spacing w:line="360" w:lineRule="auto"/>
              <w:jc w:val="both"/>
              <w:rPr>
                <w:sz w:val="20"/>
                <w:szCs w:val="20"/>
              </w:rPr>
            </w:pPr>
            <w:r w:rsidRPr="00A72E65">
              <w:rPr>
                <w:sz w:val="20"/>
                <w:szCs w:val="20"/>
              </w:rPr>
              <w:t>Costa Rica</w:t>
            </w:r>
          </w:p>
        </w:tc>
        <w:tc>
          <w:tcPr>
            <w:tcW w:w="947" w:type="pct"/>
          </w:tcPr>
          <w:p w14:paraId="5733C097" w14:textId="77777777" w:rsidR="00936C95" w:rsidRPr="00A72E65" w:rsidRDefault="00936C95" w:rsidP="00A72E65">
            <w:pPr>
              <w:spacing w:line="360" w:lineRule="auto"/>
              <w:jc w:val="both"/>
              <w:rPr>
                <w:sz w:val="20"/>
                <w:szCs w:val="20"/>
                <w:lang w:val="es-ES"/>
              </w:rPr>
            </w:pPr>
            <w:r w:rsidRPr="00A72E65">
              <w:rPr>
                <w:sz w:val="20"/>
                <w:szCs w:val="20"/>
                <w:lang w:val="es-ES"/>
              </w:rPr>
              <w:t>1er. domingo de enero</w:t>
            </w:r>
          </w:p>
        </w:tc>
        <w:tc>
          <w:tcPr>
            <w:tcW w:w="807" w:type="pct"/>
          </w:tcPr>
          <w:p w14:paraId="777042B5" w14:textId="77777777" w:rsidR="00936C95" w:rsidRPr="00A72E65" w:rsidRDefault="00936C95" w:rsidP="00A72E65">
            <w:pPr>
              <w:spacing w:line="360" w:lineRule="auto"/>
              <w:jc w:val="both"/>
              <w:rPr>
                <w:sz w:val="20"/>
                <w:szCs w:val="20"/>
                <w:lang w:val="es-ES"/>
              </w:rPr>
            </w:pPr>
            <w:r>
              <w:rPr>
                <w:sz w:val="20"/>
                <w:szCs w:val="20"/>
                <w:lang w:val="es-ES"/>
              </w:rPr>
              <w:t>3er.</w:t>
            </w:r>
            <w:r w:rsidRPr="00A72E65">
              <w:rPr>
                <w:sz w:val="20"/>
                <w:szCs w:val="20"/>
                <w:lang w:val="es-ES"/>
              </w:rPr>
              <w:t xml:space="preserve"> domingo de enero</w:t>
            </w:r>
          </w:p>
        </w:tc>
        <w:tc>
          <w:tcPr>
            <w:tcW w:w="861" w:type="pct"/>
          </w:tcPr>
          <w:p w14:paraId="28BC2280" w14:textId="77777777" w:rsidR="00936C95" w:rsidRPr="00A72E65" w:rsidRDefault="00936C95" w:rsidP="00A72E65">
            <w:pPr>
              <w:spacing w:line="360" w:lineRule="auto"/>
              <w:jc w:val="both"/>
              <w:rPr>
                <w:sz w:val="20"/>
                <w:szCs w:val="20"/>
                <w:lang w:val="es-ES"/>
              </w:rPr>
            </w:pPr>
            <w:r w:rsidRPr="00A72E65">
              <w:rPr>
                <w:sz w:val="20"/>
                <w:szCs w:val="20"/>
                <w:lang w:val="es-ES"/>
              </w:rPr>
              <w:t>1</w:t>
            </w:r>
            <w:r>
              <w:rPr>
                <w:sz w:val="20"/>
                <w:szCs w:val="20"/>
                <w:lang w:val="es-ES"/>
              </w:rPr>
              <w:t>er.</w:t>
            </w:r>
            <w:r w:rsidRPr="00A72E65">
              <w:rPr>
                <w:sz w:val="20"/>
                <w:szCs w:val="20"/>
                <w:lang w:val="es-ES"/>
              </w:rPr>
              <w:t xml:space="preserve"> domingo de febrero</w:t>
            </w:r>
          </w:p>
        </w:tc>
        <w:tc>
          <w:tcPr>
            <w:tcW w:w="807" w:type="pct"/>
          </w:tcPr>
          <w:p w14:paraId="54844F02" w14:textId="77777777" w:rsidR="00936C95" w:rsidRPr="00A72E65" w:rsidRDefault="00936C95" w:rsidP="00A72E65">
            <w:pPr>
              <w:spacing w:line="360" w:lineRule="auto"/>
              <w:jc w:val="both"/>
              <w:rPr>
                <w:sz w:val="20"/>
                <w:szCs w:val="20"/>
                <w:lang w:val="es-ES"/>
              </w:rPr>
            </w:pPr>
            <w:r w:rsidRPr="00A72E65">
              <w:rPr>
                <w:sz w:val="20"/>
                <w:szCs w:val="20"/>
                <w:lang w:val="es-ES"/>
              </w:rPr>
              <w:t>1 marzo, 3 meses</w:t>
            </w:r>
          </w:p>
        </w:tc>
        <w:tc>
          <w:tcPr>
            <w:tcW w:w="861" w:type="pct"/>
          </w:tcPr>
          <w:p w14:paraId="72D7D6A4" w14:textId="77777777" w:rsidR="00936C95" w:rsidRPr="00A72E65" w:rsidRDefault="00936C95" w:rsidP="001C4D3B">
            <w:pPr>
              <w:spacing w:line="360" w:lineRule="auto"/>
              <w:ind w:firstLine="284"/>
              <w:jc w:val="both"/>
              <w:rPr>
                <w:sz w:val="20"/>
                <w:szCs w:val="20"/>
                <w:lang w:val="es-ES"/>
              </w:rPr>
            </w:pPr>
            <w:r w:rsidRPr="00A72E65">
              <w:rPr>
                <w:sz w:val="20"/>
                <w:szCs w:val="20"/>
                <w:lang w:val="es-ES"/>
              </w:rPr>
              <w:t xml:space="preserve">1825, Art 27-29, Art 49 </w:t>
            </w:r>
          </w:p>
        </w:tc>
      </w:tr>
    </w:tbl>
    <w:p w14:paraId="38634B10" w14:textId="77777777" w:rsidR="00936C95" w:rsidRPr="001C4D3B" w:rsidRDefault="00936C95" w:rsidP="001C4D3B">
      <w:pPr>
        <w:spacing w:line="360" w:lineRule="auto"/>
        <w:ind w:firstLine="284"/>
        <w:jc w:val="both"/>
        <w:rPr>
          <w:bCs/>
          <w:lang w:val="es-ES"/>
        </w:rPr>
      </w:pPr>
      <w:r w:rsidRPr="001C4D3B">
        <w:rPr>
          <w:bCs/>
          <w:lang w:val="es-ES"/>
        </w:rPr>
        <w:t>* Todos los congresos podrían extender las sesiones hasta 4 meses</w:t>
      </w:r>
    </w:p>
    <w:p w14:paraId="54436B65" w14:textId="77777777" w:rsidR="00936C95" w:rsidRPr="001C4D3B" w:rsidRDefault="00936C95" w:rsidP="001C4D3B">
      <w:pPr>
        <w:spacing w:line="360" w:lineRule="auto"/>
        <w:ind w:firstLine="284"/>
        <w:jc w:val="both"/>
        <w:rPr>
          <w:lang w:val="es-ES"/>
        </w:rPr>
      </w:pPr>
    </w:p>
    <w:p w14:paraId="397BDF94" w14:textId="6FAEC28D" w:rsidR="00936C95" w:rsidRPr="001C4D3B" w:rsidRDefault="00961299" w:rsidP="00E6210E">
      <w:pPr>
        <w:spacing w:line="360" w:lineRule="auto"/>
        <w:ind w:firstLine="284"/>
        <w:jc w:val="both"/>
        <w:rPr>
          <w:lang w:val="es-ES"/>
        </w:rPr>
      </w:pPr>
      <w:r>
        <w:rPr>
          <w:lang w:val="es-ES"/>
        </w:rPr>
        <w:t>Por lo general,</w:t>
      </w:r>
      <w:r w:rsidR="00936C95" w:rsidRPr="007044E3">
        <w:rPr>
          <w:lang w:val="es-ES"/>
        </w:rPr>
        <w:t xml:space="preserve"> </w:t>
      </w:r>
      <w:r w:rsidR="00B148E3">
        <w:rPr>
          <w:lang w:val="es-ES"/>
        </w:rPr>
        <w:t xml:space="preserve">las </w:t>
      </w:r>
      <w:r w:rsidR="00936C95" w:rsidRPr="00B148E3">
        <w:rPr>
          <w:lang w:val="es-ES"/>
        </w:rPr>
        <w:t xml:space="preserve">juntas extraordinarias fueron convocadas tres o cuatro veces al año </w:t>
      </w:r>
      <w:r w:rsidR="00936C95" w:rsidRPr="007044E3">
        <w:rPr>
          <w:lang w:val="es-ES"/>
        </w:rPr>
        <w:t>en particular para renovar puestos</w:t>
      </w:r>
      <w:r>
        <w:rPr>
          <w:lang w:val="es-ES"/>
        </w:rPr>
        <w:t xml:space="preserve">. Muchas veces, aunque no únicamente, puestos </w:t>
      </w:r>
      <w:r w:rsidR="00936C95" w:rsidRPr="007044E3">
        <w:rPr>
          <w:lang w:val="es-ES"/>
        </w:rPr>
        <w:t xml:space="preserve">municipales debido a renuncias por cuestiones de salud, compromisos comerciales o servicios anteriores y ascensos a </w:t>
      </w:r>
      <w:r w:rsidR="00936C95" w:rsidRPr="007044E3">
        <w:rPr>
          <w:lang w:val="es-ES"/>
        </w:rPr>
        <w:lastRenderedPageBreak/>
        <w:t xml:space="preserve">puestos estatales o federales. En marzo de 1824, el abogado y alcalde primero de Ciudad de Guatemala, </w:t>
      </w:r>
      <w:r w:rsidR="00936C95">
        <w:rPr>
          <w:lang w:val="es-ES"/>
        </w:rPr>
        <w:t xml:space="preserve">Lic. </w:t>
      </w:r>
      <w:r w:rsidR="00936C95" w:rsidRPr="007044E3">
        <w:rPr>
          <w:lang w:val="es-ES"/>
        </w:rPr>
        <w:t xml:space="preserve">Antonio Rivera, </w:t>
      </w:r>
      <w:r w:rsidR="00936C95">
        <w:rPr>
          <w:lang w:val="es-ES"/>
        </w:rPr>
        <w:t>dimitió</w:t>
      </w:r>
      <w:r w:rsidR="00936C95" w:rsidRPr="007044E3">
        <w:rPr>
          <w:lang w:val="es-ES"/>
        </w:rPr>
        <w:t xml:space="preserve"> porque ya había sido miembro de la Diputación Provincial de Guatemala, de la junta de gobierno interina y de la junta preparatoria de la Asamblea nacional Constituyente, y </w:t>
      </w:r>
      <w:r w:rsidR="00936C95">
        <w:rPr>
          <w:lang w:val="es-ES"/>
        </w:rPr>
        <w:t>dijo tener que</w:t>
      </w:r>
      <w:r w:rsidR="00936C95" w:rsidRPr="007044E3">
        <w:rPr>
          <w:lang w:val="es-ES"/>
        </w:rPr>
        <w:t xml:space="preserve"> dedicarse a </w:t>
      </w:r>
      <w:r w:rsidR="00936C95" w:rsidRPr="00B148E3">
        <w:rPr>
          <w:lang w:val="es-ES"/>
        </w:rPr>
        <w:t>la abogacía</w:t>
      </w:r>
      <w:r w:rsidR="00936C95" w:rsidRPr="007044E3">
        <w:rPr>
          <w:lang w:val="es-ES"/>
        </w:rPr>
        <w:t xml:space="preserve"> para sostener a su familia. Cuatro electores ofrecieron pagarle</w:t>
      </w:r>
      <w:r w:rsidR="00936C95" w:rsidRPr="001C4D3B">
        <w:rPr>
          <w:lang w:val="es-ES"/>
        </w:rPr>
        <w:t xml:space="preserve"> un estipendio </w:t>
      </w:r>
      <w:r w:rsidR="00936C95">
        <w:rPr>
          <w:lang w:val="es-ES"/>
        </w:rPr>
        <w:t xml:space="preserve">para que se quedara en su cargo </w:t>
      </w:r>
      <w:r w:rsidR="00936C95" w:rsidRPr="001C4D3B">
        <w:rPr>
          <w:lang w:val="es-ES"/>
        </w:rPr>
        <w:t>porque ningún otro individuo "merecía el apoyo del pueblo"</w:t>
      </w:r>
      <w:r w:rsidR="00936C95">
        <w:rPr>
          <w:lang w:val="es-ES"/>
        </w:rPr>
        <w:t xml:space="preserve">. Rivera rechazó la oferta por </w:t>
      </w:r>
      <w:r w:rsidR="00936C95" w:rsidRPr="001C4D3B">
        <w:rPr>
          <w:lang w:val="es-ES"/>
        </w:rPr>
        <w:t xml:space="preserve">"indecorosa" pero permaneció hasta </w:t>
      </w:r>
      <w:r w:rsidR="00936C95">
        <w:rPr>
          <w:lang w:val="es-ES"/>
        </w:rPr>
        <w:t>que fue designado miembro de</w:t>
      </w:r>
      <w:r w:rsidR="00936C95" w:rsidRPr="001C4D3B">
        <w:rPr>
          <w:lang w:val="es-ES"/>
        </w:rPr>
        <w:t>l poder judicial estatal</w:t>
      </w:r>
      <w:r w:rsidR="00936C95">
        <w:rPr>
          <w:lang w:val="es-ES"/>
        </w:rPr>
        <w:t xml:space="preserve"> un mes más tarde</w:t>
      </w:r>
      <w:r w:rsidR="00936C95" w:rsidRPr="001C4D3B">
        <w:rPr>
          <w:lang w:val="es-ES"/>
        </w:rPr>
        <w:t>. Dos meses después, en j</w:t>
      </w:r>
      <w:r w:rsidR="00936C95">
        <w:rPr>
          <w:lang w:val="es-ES"/>
        </w:rPr>
        <w:t>unio de 1824, otros dos concejales</w:t>
      </w:r>
      <w:r w:rsidR="00936C95" w:rsidRPr="001C4D3B">
        <w:rPr>
          <w:lang w:val="es-ES"/>
        </w:rPr>
        <w:t xml:space="preserve">, Manuel José de Lara y Manuel Beteta, ingresaron al juzgado de letras guatemalteco y renunciaron </w:t>
      </w:r>
      <w:r w:rsidR="00936C95">
        <w:rPr>
          <w:lang w:val="es-ES"/>
        </w:rPr>
        <w:t xml:space="preserve">a </w:t>
      </w:r>
      <w:r w:rsidR="00936C95" w:rsidRPr="001C4D3B">
        <w:rPr>
          <w:lang w:val="es-ES"/>
        </w:rPr>
        <w:t>su cargo municipal</w:t>
      </w:r>
      <w:r w:rsidR="00936C95" w:rsidRPr="001C4D3B">
        <w:rPr>
          <w:rStyle w:val="FootnoteReference"/>
        </w:rPr>
        <w:footnoteReference w:id="74"/>
      </w:r>
      <w:r w:rsidR="00936C95" w:rsidRPr="00990AB9">
        <w:rPr>
          <w:lang w:val="es-ES"/>
        </w:rPr>
        <w:t>.</w:t>
      </w:r>
      <w:r w:rsidR="00936C95" w:rsidRPr="001C4D3B">
        <w:rPr>
          <w:lang w:val="es-ES"/>
        </w:rPr>
        <w:t xml:space="preserve"> </w:t>
      </w:r>
      <w:r w:rsidR="00936C95">
        <w:rPr>
          <w:lang w:val="es-ES"/>
        </w:rPr>
        <w:t xml:space="preserve">Este ritmo de elecciones y remplazos crónicos se institucionalizó en la época federal, con resultados de esperar: menos electores en cada sesión. En diciembre 1824, </w:t>
      </w:r>
      <w:r w:rsidR="00936C95" w:rsidRPr="007044E3">
        <w:rPr>
          <w:lang w:val="es-ES"/>
        </w:rPr>
        <w:t xml:space="preserve">23 electores municipales de Guatemala se presentaron para la primera elección de concejales y dividieron sus votos de manera bastante equitativa (14 a 9 en la mayoría de los casos). </w:t>
      </w:r>
      <w:r w:rsidR="00936C95">
        <w:rPr>
          <w:lang w:val="es-ES"/>
        </w:rPr>
        <w:t>El mismo año</w:t>
      </w:r>
      <w:r w:rsidR="00936C95" w:rsidRPr="007044E3">
        <w:rPr>
          <w:lang w:val="es-ES"/>
        </w:rPr>
        <w:t xml:space="preserve">, </w:t>
      </w:r>
      <w:r w:rsidR="00936C95">
        <w:rPr>
          <w:lang w:val="es-ES"/>
        </w:rPr>
        <w:t>hubo sesiones extraordinarias</w:t>
      </w:r>
      <w:r w:rsidR="00936C95" w:rsidRPr="007044E3">
        <w:rPr>
          <w:lang w:val="es-ES"/>
        </w:rPr>
        <w:t xml:space="preserve"> en nueve ocasiones </w:t>
      </w:r>
      <w:r w:rsidR="00936C95">
        <w:rPr>
          <w:lang w:val="es-ES"/>
        </w:rPr>
        <w:t xml:space="preserve">-- </w:t>
      </w:r>
      <w:r w:rsidR="00936C95" w:rsidRPr="007044E3">
        <w:rPr>
          <w:lang w:val="es-ES"/>
        </w:rPr>
        <w:t>los días 8 y 23 de enero, 1 y 28 de marzo, 2 de abril, 4 de junio, 19 de julio, 19 y 23 de septiembre</w:t>
      </w:r>
      <w:r w:rsidR="00936C95">
        <w:rPr>
          <w:lang w:val="es-ES"/>
        </w:rPr>
        <w:t xml:space="preserve"> --</w:t>
      </w:r>
      <w:r w:rsidR="00936C95" w:rsidRPr="007044E3">
        <w:rPr>
          <w:lang w:val="es-ES"/>
        </w:rPr>
        <w:t xml:space="preserve"> para reemplazar a los individuos que no aceptaron la nominación por haber sido elegidos a puestos estatales o federales.</w:t>
      </w:r>
      <w:r w:rsidR="00936C95" w:rsidRPr="001C4D3B">
        <w:rPr>
          <w:rStyle w:val="FootnoteReference"/>
        </w:rPr>
        <w:footnoteReference w:id="75"/>
      </w:r>
      <w:r w:rsidR="00936C95">
        <w:rPr>
          <w:lang w:val="es-ES"/>
        </w:rPr>
        <w:t xml:space="preserve"> A</w:t>
      </w:r>
      <w:r w:rsidR="00936C95" w:rsidRPr="001C4D3B">
        <w:rPr>
          <w:lang w:val="es-ES"/>
        </w:rPr>
        <w:t xml:space="preserve">l menos </w:t>
      </w:r>
      <w:r w:rsidR="00936C95">
        <w:rPr>
          <w:lang w:val="es-ES"/>
        </w:rPr>
        <w:t xml:space="preserve">hasta </w:t>
      </w:r>
      <w:r w:rsidR="00936C95" w:rsidRPr="001C4D3B">
        <w:rPr>
          <w:lang w:val="es-ES"/>
        </w:rPr>
        <w:t xml:space="preserve">1850, tales renuncias eran típicas </w:t>
      </w:r>
      <w:r w:rsidR="00936C95" w:rsidRPr="007044E3">
        <w:rPr>
          <w:lang w:val="es-ES"/>
        </w:rPr>
        <w:t xml:space="preserve">en las capitales políticas, </w:t>
      </w:r>
      <w:r w:rsidR="00936C95">
        <w:rPr>
          <w:lang w:val="es-ES"/>
        </w:rPr>
        <w:t xml:space="preserve">como </w:t>
      </w:r>
      <w:r w:rsidR="00936C95" w:rsidRPr="007044E3">
        <w:rPr>
          <w:lang w:val="es-ES"/>
        </w:rPr>
        <w:t xml:space="preserve"> Antigua (Guatemala), Tegucigalpa (Honduras) y Sonsonate (El Salvador)</w:t>
      </w:r>
      <w:r w:rsidR="00936C95">
        <w:rPr>
          <w:lang w:val="es-ES"/>
        </w:rPr>
        <w:t xml:space="preserve">, </w:t>
      </w:r>
      <w:r w:rsidR="00936C95" w:rsidRPr="007044E3">
        <w:rPr>
          <w:lang w:val="es-ES"/>
        </w:rPr>
        <w:t>probablemente más que en otros pueblos</w:t>
      </w:r>
      <w:r w:rsidR="00936C95">
        <w:rPr>
          <w:lang w:val="es-ES"/>
        </w:rPr>
        <w:t xml:space="preserve">, </w:t>
      </w:r>
      <w:r w:rsidR="00936C95" w:rsidRPr="001C4D3B">
        <w:rPr>
          <w:lang w:val="es-ES"/>
        </w:rPr>
        <w:t xml:space="preserve">según los libros electorales que </w:t>
      </w:r>
      <w:r w:rsidR="00936C95" w:rsidRPr="007044E3">
        <w:rPr>
          <w:lang w:val="es-ES"/>
        </w:rPr>
        <w:t xml:space="preserve">muestran elecciones de reemplazo celebradas de enero a noviembre cada año, lo que significó un gravamen </w:t>
      </w:r>
      <w:r w:rsidR="00D42C4B">
        <w:rPr>
          <w:lang w:val="es-ES"/>
        </w:rPr>
        <w:t xml:space="preserve">tanto </w:t>
      </w:r>
      <w:r w:rsidR="00936C95" w:rsidRPr="007044E3">
        <w:rPr>
          <w:lang w:val="es-ES"/>
        </w:rPr>
        <w:t xml:space="preserve">para los </w:t>
      </w:r>
      <w:r w:rsidR="004716C5">
        <w:rPr>
          <w:lang w:val="es-ES"/>
        </w:rPr>
        <w:t xml:space="preserve">votantes </w:t>
      </w:r>
      <w:r w:rsidR="00D42C4B">
        <w:rPr>
          <w:lang w:val="es-ES"/>
        </w:rPr>
        <w:t>como para los</w:t>
      </w:r>
      <w:r w:rsidR="00936C95">
        <w:rPr>
          <w:lang w:val="es-ES"/>
        </w:rPr>
        <w:t xml:space="preserve"> electos</w:t>
      </w:r>
      <w:r w:rsidR="00936C95" w:rsidRPr="007044E3">
        <w:rPr>
          <w:lang w:val="es-ES"/>
        </w:rPr>
        <w:t>.  Ello podría sugerir que los gobiernos centroamericanos</w:t>
      </w:r>
      <w:r w:rsidR="00936C95" w:rsidRPr="001C4D3B">
        <w:rPr>
          <w:lang w:val="es-ES"/>
        </w:rPr>
        <w:t xml:space="preserve"> tomaban sus funcionarios de un grupo limitado de individuos educados y de orientación cívica que tenían que escoger entre </w:t>
      </w:r>
      <w:r w:rsidR="00936C95" w:rsidRPr="007044E3">
        <w:rPr>
          <w:lang w:val="es-ES"/>
        </w:rPr>
        <w:t>servir dentro de puestos</w:t>
      </w:r>
      <w:r w:rsidR="00936C95" w:rsidRPr="001C4D3B">
        <w:rPr>
          <w:lang w:val="es-ES"/>
        </w:rPr>
        <w:t xml:space="preserve"> municipales, estatales y federales</w:t>
      </w:r>
      <w:r w:rsidR="00936C95" w:rsidRPr="001C4D3B">
        <w:rPr>
          <w:rStyle w:val="FootnoteReference"/>
        </w:rPr>
        <w:footnoteReference w:id="76"/>
      </w:r>
      <w:r w:rsidR="00936C95" w:rsidRPr="002D24BB">
        <w:rPr>
          <w:lang w:val="es-ES"/>
        </w:rPr>
        <w:t>.</w:t>
      </w:r>
      <w:r w:rsidR="00936C95" w:rsidRPr="001C4D3B">
        <w:rPr>
          <w:lang w:val="es-ES"/>
        </w:rPr>
        <w:t xml:space="preserve"> </w:t>
      </w:r>
    </w:p>
    <w:p w14:paraId="603CFB18" w14:textId="1E6A901D" w:rsidR="00936C95" w:rsidRPr="00875E7B" w:rsidRDefault="00936C95" w:rsidP="00A72E65">
      <w:pPr>
        <w:spacing w:line="360" w:lineRule="auto"/>
        <w:ind w:firstLine="284"/>
        <w:jc w:val="both"/>
        <w:rPr>
          <w:lang w:val="es-ES"/>
        </w:rPr>
      </w:pPr>
      <w:r w:rsidRPr="002B0E9B">
        <w:rPr>
          <w:lang w:val="es-ES"/>
        </w:rPr>
        <w:lastRenderedPageBreak/>
        <w:t>Tras documentar las múltiples reuniones de juntas electorales hasta la década de 1830 para elecciones locales, estatales y federales, se confirma la extensa participación ciudadana aunque con una significativa variación en la participación según la elección. En la Antigua, por ejemplo, entre 15 y 60 electores participaron en la selección de electores de partido en la década de 1820, para una población de 7.000 "españoles y mulatos" según datos de 1800</w:t>
      </w:r>
      <w:r w:rsidRPr="002B0E9B">
        <w:rPr>
          <w:rStyle w:val="FootnoteReference"/>
        </w:rPr>
        <w:footnoteReference w:id="77"/>
      </w:r>
      <w:r w:rsidRPr="002B0E9B">
        <w:rPr>
          <w:lang w:val="es-ES"/>
        </w:rPr>
        <w:t>. La amplia variación</w:t>
      </w:r>
      <w:r w:rsidRPr="001C4D3B">
        <w:rPr>
          <w:lang w:val="es-ES"/>
        </w:rPr>
        <w:t xml:space="preserve"> </w:t>
      </w:r>
      <w:r w:rsidRPr="002B0E9B">
        <w:rPr>
          <w:lang w:val="es-ES"/>
        </w:rPr>
        <w:t>sugiere un interés desigual según la naturaleza de la elección. Aunque el número de participantes</w:t>
      </w:r>
      <w:r w:rsidRPr="001C4D3B">
        <w:rPr>
          <w:lang w:val="es-ES"/>
        </w:rPr>
        <w:t xml:space="preserve"> </w:t>
      </w:r>
      <w:r>
        <w:rPr>
          <w:lang w:val="es-ES"/>
        </w:rPr>
        <w:t xml:space="preserve">en general </w:t>
      </w:r>
      <w:r w:rsidRPr="001C4D3B">
        <w:rPr>
          <w:lang w:val="es-ES"/>
        </w:rPr>
        <w:t>varió en cada evento</w:t>
      </w:r>
      <w:r>
        <w:rPr>
          <w:lang w:val="es-ES"/>
        </w:rPr>
        <w:t xml:space="preserve">, en Sonsonate, </w:t>
      </w:r>
      <w:r w:rsidRPr="001C4D3B">
        <w:rPr>
          <w:lang w:val="es-ES"/>
        </w:rPr>
        <w:t>c</w:t>
      </w:r>
      <w:r>
        <w:rPr>
          <w:lang w:val="es-ES"/>
        </w:rPr>
        <w:t>on alrededor de 4.000 residentes</w:t>
      </w:r>
      <w:r w:rsidRPr="001C4D3B">
        <w:rPr>
          <w:lang w:val="es-ES"/>
        </w:rPr>
        <w:t xml:space="preserve">, los registros de votación de las décadas de 1820 y 1830 sugieren al menos </w:t>
      </w:r>
      <w:r>
        <w:rPr>
          <w:lang w:val="es-ES"/>
        </w:rPr>
        <w:t xml:space="preserve">entre 50 y </w:t>
      </w:r>
      <w:r w:rsidRPr="001C4D3B">
        <w:rPr>
          <w:lang w:val="es-ES"/>
        </w:rPr>
        <w:t xml:space="preserve">60 personas participando </w:t>
      </w:r>
      <w:r w:rsidRPr="002B0E9B">
        <w:rPr>
          <w:lang w:val="es-ES"/>
        </w:rPr>
        <w:t xml:space="preserve">en las elecciones de </w:t>
      </w:r>
      <w:r w:rsidRPr="002B0E9B">
        <w:rPr>
          <w:i/>
          <w:iCs/>
          <w:lang w:val="es-ES"/>
        </w:rPr>
        <w:t xml:space="preserve">comisarios, </w:t>
      </w:r>
      <w:r w:rsidRPr="002B0E9B">
        <w:rPr>
          <w:lang w:val="es-ES"/>
        </w:rPr>
        <w:t>o sea, una participación estable durante un período con cambios políticos y disturbios dramáticos</w:t>
      </w:r>
      <w:r w:rsidRPr="002B0E9B">
        <w:rPr>
          <w:rStyle w:val="FootnoteReference"/>
        </w:rPr>
        <w:footnoteReference w:id="78"/>
      </w:r>
      <w:r w:rsidRPr="002B0E9B">
        <w:rPr>
          <w:lang w:val="es-ES"/>
        </w:rPr>
        <w:t>.</w:t>
      </w:r>
      <w:r w:rsidRPr="002B0E9B">
        <w:rPr>
          <w:lang w:val="es-ES_tradnl"/>
        </w:rPr>
        <w:t xml:space="preserve"> </w:t>
      </w:r>
      <w:r w:rsidRPr="002B0E9B">
        <w:rPr>
          <w:lang w:val="es-ES"/>
        </w:rPr>
        <w:t xml:space="preserve">En Guatemala, las elecciones estatales y federales de 1829 mostraron "elecciones populares" de 15 a 28 votos emitidos en cada una de las cinco juntas de departamento, los órganos electorales de tercer nivel. Estos resultados son llamativos, sugiriendo que, aunque relativamente pocas personas participaron en la elección directa de los funcionarios gubernamentales, hay signos de competencia para los cargos. Por ejemplo, aunque dos ciudades tan importantes como Guatemala y </w:t>
      </w:r>
      <w:r w:rsidRPr="002B0E9B">
        <w:rPr>
          <w:bCs/>
          <w:lang w:val="es-ES"/>
        </w:rPr>
        <w:t>Totonicapán</w:t>
      </w:r>
      <w:r w:rsidRPr="002B0E9B">
        <w:rPr>
          <w:lang w:val="es-ES"/>
        </w:rPr>
        <w:t xml:space="preserve"> muestran casi unanimidad de votos, las tablas de elecciones por distrito revelan que la mayoría de los candidatos recibían votos en varios departamentos</w:t>
      </w:r>
      <w:r w:rsidRPr="002B0E9B">
        <w:rPr>
          <w:rStyle w:val="FootnoteReference"/>
        </w:rPr>
        <w:footnoteReference w:id="79"/>
      </w:r>
      <w:r w:rsidRPr="002B0E9B">
        <w:rPr>
          <w:lang w:val="es-ES"/>
        </w:rPr>
        <w:t>. Por último, las actas electorales mismas ofrecen idea de por qué había un interés sostenido en ellas; las sesiones de votación además de ser una oportunidad para emitir votos proporciona</w:t>
      </w:r>
      <w:r w:rsidR="00D42C4B">
        <w:rPr>
          <w:lang w:val="es-ES"/>
        </w:rPr>
        <w:t>ban</w:t>
      </w:r>
      <w:r w:rsidRPr="002B0E9B">
        <w:rPr>
          <w:lang w:val="es-ES"/>
        </w:rPr>
        <w:t xml:space="preserve"> a los participantes la oportunidad de discutir reglamentos y políticas nacionales. Dicho esto, las mismas listas de votantes indican límites a la expansión de la ciudadanía o al compromiso político a través del sufragio. Los nombres de los votantes y de los miembros de la junta durante casi veinte años de gobierno republicano revelan una estabilidad asombrosa. En Sonsonate, los apellidos de ciudadanos activos del período colonial tardío Villavicencio, Mencía, </w:t>
      </w:r>
      <w:r w:rsidRPr="002B0E9B">
        <w:rPr>
          <w:lang w:val="es-ES"/>
        </w:rPr>
        <w:lastRenderedPageBreak/>
        <w:t>Rivas, Vega, Zea, y Orantes, entre otros- no solo continuaron, sino que ocuparon una plaza importante dentro de los votantes y electores hasta bien entrados en la década de 1830</w:t>
      </w:r>
      <w:r w:rsidRPr="002B0E9B">
        <w:rPr>
          <w:rStyle w:val="FootnoteReference"/>
        </w:rPr>
        <w:footnoteReference w:id="80"/>
      </w:r>
      <w:r w:rsidRPr="002B0E9B">
        <w:rPr>
          <w:lang w:val="es-ES"/>
        </w:rPr>
        <w:t>.</w:t>
      </w:r>
    </w:p>
    <w:p w14:paraId="1E79A8C1" w14:textId="0A73B426" w:rsidR="00936C95" w:rsidRPr="00875E7B" w:rsidRDefault="00936C95" w:rsidP="001C4D3B">
      <w:pPr>
        <w:spacing w:line="360" w:lineRule="auto"/>
        <w:ind w:firstLine="284"/>
        <w:jc w:val="both"/>
        <w:rPr>
          <w:lang w:val="es-ES"/>
        </w:rPr>
      </w:pPr>
      <w:r w:rsidRPr="002B0E9B">
        <w:rPr>
          <w:lang w:val="es-ES"/>
        </w:rPr>
        <w:t xml:space="preserve">Estos casos específicos, aunque convincentes, plantean tantas preguntas como respuestas. Los casos analizados provienen principalmente de antiguas capitales de distrito y las preguntas que resta responder es si </w:t>
      </w:r>
      <w:r w:rsidR="00D42C4B">
        <w:rPr>
          <w:lang w:val="es-ES"/>
        </w:rPr>
        <w:t xml:space="preserve">en </w:t>
      </w:r>
      <w:r w:rsidRPr="002B0E9B">
        <w:rPr>
          <w:lang w:val="es-ES"/>
        </w:rPr>
        <w:t>las ciudades más pequeñas siguieron patrones similares o si, por el contrario, cambiaron los patrones en países con poblaciones indígenas más importantes que en estas ciudades ladinas o mestizas. Al menos un historiador guatemalteco, Julio César Pinto Soria, ha argumentado que las élites usaron el liberalismo para destruir la red de pueblos indígenas y su sistema de justicia interna; que los indios eran reacios a los consejos municipales elegidos porque cortaron su poder; y que la igualdad política y jurídica ofrecida por las constituciones fue una "</w:t>
      </w:r>
      <w:r w:rsidRPr="002B0E9B">
        <w:rPr>
          <w:bCs/>
          <w:lang w:val="es-ES"/>
        </w:rPr>
        <w:t>igualdad ficticia</w:t>
      </w:r>
      <w:r w:rsidRPr="002B0E9B">
        <w:rPr>
          <w:lang w:val="es-ES"/>
        </w:rPr>
        <w:t>" que las clases populares inmediatamente advirtieron y rechazaron</w:t>
      </w:r>
      <w:r w:rsidRPr="002B0E9B">
        <w:rPr>
          <w:rStyle w:val="FootnoteReference"/>
        </w:rPr>
        <w:footnoteReference w:id="81"/>
      </w:r>
      <w:r w:rsidRPr="002B0E9B">
        <w:rPr>
          <w:lang w:val="es-ES"/>
        </w:rPr>
        <w:t>. La insistencia del proyecto liberal en la "</w:t>
      </w:r>
      <w:proofErr w:type="spellStart"/>
      <w:r w:rsidRPr="002B0E9B">
        <w:rPr>
          <w:lang w:val="es-ES"/>
        </w:rPr>
        <w:t>ladinización</w:t>
      </w:r>
      <w:proofErr w:type="spellEnd"/>
      <w:r w:rsidRPr="002B0E9B">
        <w:rPr>
          <w:lang w:val="es-ES"/>
        </w:rPr>
        <w:t xml:space="preserve">", o </w:t>
      </w:r>
      <w:proofErr w:type="spellStart"/>
      <w:r w:rsidRPr="002B0E9B">
        <w:rPr>
          <w:lang w:val="es-ES"/>
        </w:rPr>
        <w:t>hispanización</w:t>
      </w:r>
      <w:proofErr w:type="spellEnd"/>
      <w:r w:rsidRPr="002B0E9B">
        <w:rPr>
          <w:lang w:val="es-ES"/>
        </w:rPr>
        <w:t>, de los pueblos indígenas incluyó al régimen de Mariano Gálvez en Guatemala, que insistió en 1835 en que un indígena que no usara zapatos, una camisa con cuello, pantalones largos y un sombrero, no podría servir</w:t>
      </w:r>
      <w:r w:rsidRPr="001C4D3B">
        <w:rPr>
          <w:lang w:val="es-ES"/>
        </w:rPr>
        <w:t xml:space="preserve"> de regidor, alcalde, síndico o "ni otro alguno de la parroquia"</w:t>
      </w:r>
      <w:r w:rsidRPr="001C4D3B">
        <w:rPr>
          <w:rStyle w:val="FootnoteReference"/>
        </w:rPr>
        <w:footnoteReference w:id="82"/>
      </w:r>
      <w:r w:rsidRPr="00875E7B">
        <w:rPr>
          <w:lang w:val="es-ES"/>
        </w:rPr>
        <w:t>.</w:t>
      </w:r>
    </w:p>
    <w:p w14:paraId="3C4BB035" w14:textId="77777777" w:rsidR="00936C95" w:rsidRPr="00875E7B" w:rsidRDefault="00936C95" w:rsidP="001C4D3B">
      <w:pPr>
        <w:spacing w:line="360" w:lineRule="auto"/>
        <w:ind w:firstLine="284"/>
        <w:jc w:val="both"/>
        <w:rPr>
          <w:lang w:val="es-ES"/>
        </w:rPr>
      </w:pPr>
      <w:r w:rsidRPr="002B0E9B">
        <w:rPr>
          <w:lang w:val="es-ES"/>
        </w:rPr>
        <w:t xml:space="preserve">Cierta evidencia sustancial sugiere, al contrario de lo arriba afirmado, que los consejos de pueblos indígenas no solo continuaron reuniéndose, sino que influyeron en las políticas. El estudio de Sonia </w:t>
      </w:r>
      <w:proofErr w:type="spellStart"/>
      <w:r w:rsidRPr="002B0E9B">
        <w:rPr>
          <w:lang w:val="es-ES"/>
        </w:rPr>
        <w:t>Alda</w:t>
      </w:r>
      <w:proofErr w:type="spellEnd"/>
      <w:r w:rsidRPr="002B0E9B">
        <w:rPr>
          <w:lang w:val="es-ES"/>
        </w:rPr>
        <w:t xml:space="preserve"> Mejías sobre los cabildos indígenas sostiene que, lejos de ser reaccionarias, las comunidades indígenas se adaptaron al sistema y también adoptaron nuevas instituciones políticas para lograr sus propios fines. Por ejemplo, el sistema constitucional ofreció la oportunidad a los </w:t>
      </w:r>
      <w:proofErr w:type="spellStart"/>
      <w:r w:rsidRPr="002B0E9B">
        <w:rPr>
          <w:i/>
          <w:iCs/>
          <w:lang w:val="es-ES"/>
        </w:rPr>
        <w:t>macehuales</w:t>
      </w:r>
      <w:proofErr w:type="spellEnd"/>
      <w:r w:rsidRPr="002B0E9B">
        <w:rPr>
          <w:lang w:val="es-ES"/>
        </w:rPr>
        <w:t xml:space="preserve">, o miembros de la comunidad, de presentarse y ganar las elecciones municipales, a veces yendo en contra de los </w:t>
      </w:r>
      <w:r w:rsidRPr="002B0E9B">
        <w:rPr>
          <w:i/>
          <w:iCs/>
          <w:lang w:val="es-ES"/>
        </w:rPr>
        <w:t>principales</w:t>
      </w:r>
      <w:r w:rsidRPr="002B0E9B">
        <w:rPr>
          <w:lang w:val="es-ES"/>
        </w:rPr>
        <w:t>, es decir, las élites que habían</w:t>
      </w:r>
      <w:r w:rsidRPr="001C4D3B">
        <w:rPr>
          <w:lang w:val="es-ES"/>
        </w:rPr>
        <w:t xml:space="preserve"> monopolizado las instituciones locales lo largo del período colonial</w:t>
      </w:r>
      <w:r w:rsidRPr="001C4D3B">
        <w:rPr>
          <w:rStyle w:val="FootnoteReference"/>
        </w:rPr>
        <w:footnoteReference w:id="83"/>
      </w:r>
      <w:r w:rsidRPr="0094763D">
        <w:rPr>
          <w:lang w:val="es-ES"/>
        </w:rPr>
        <w:t>.</w:t>
      </w:r>
      <w:r>
        <w:rPr>
          <w:lang w:val="es-ES"/>
        </w:rPr>
        <w:t xml:space="preserve"> </w:t>
      </w:r>
      <w:r w:rsidRPr="0094763D">
        <w:rPr>
          <w:lang w:val="es-ES"/>
        </w:rPr>
        <w:t xml:space="preserve">Los legisladores eran ciertamente conscientes de las preocupaciones por la posible privación del derecho de voto de los plebeyos indígenas, </w:t>
      </w:r>
      <w:r w:rsidRPr="0094763D">
        <w:rPr>
          <w:lang w:val="es-ES"/>
        </w:rPr>
        <w:lastRenderedPageBreak/>
        <w:t xml:space="preserve">aunque no estaban necesariamente facultados para impedir que se siguieran utilizando las "distinciones" tradicionales como criterio para las elecciones de "empleos </w:t>
      </w:r>
      <w:proofErr w:type="spellStart"/>
      <w:r w:rsidRPr="0094763D">
        <w:rPr>
          <w:lang w:val="es-ES"/>
        </w:rPr>
        <w:t>cons</w:t>
      </w:r>
      <w:r>
        <w:rPr>
          <w:lang w:val="es-ES"/>
        </w:rPr>
        <w:t>e</w:t>
      </w:r>
      <w:r w:rsidRPr="0094763D">
        <w:rPr>
          <w:lang w:val="es-ES"/>
        </w:rPr>
        <w:t>jiles</w:t>
      </w:r>
      <w:proofErr w:type="spellEnd"/>
      <w:r w:rsidRPr="0094763D">
        <w:rPr>
          <w:lang w:val="es-ES"/>
        </w:rPr>
        <w:t>"</w:t>
      </w:r>
      <w:r w:rsidRPr="001C4D3B">
        <w:rPr>
          <w:rStyle w:val="FootnoteReference"/>
        </w:rPr>
        <w:footnoteReference w:id="84"/>
      </w:r>
      <w:r w:rsidRPr="00875E7B">
        <w:rPr>
          <w:lang w:val="es-ES"/>
        </w:rPr>
        <w:t>.</w:t>
      </w:r>
    </w:p>
    <w:p w14:paraId="3EB3AEA8" w14:textId="77777777" w:rsidR="00936C95" w:rsidRPr="0094763D" w:rsidRDefault="00936C95" w:rsidP="001C4D3B">
      <w:pPr>
        <w:spacing w:line="360" w:lineRule="auto"/>
        <w:ind w:firstLine="284"/>
        <w:jc w:val="both"/>
        <w:rPr>
          <w:lang w:val="es-ES"/>
        </w:rPr>
      </w:pPr>
      <w:r w:rsidRPr="002B0E9B">
        <w:rPr>
          <w:lang w:val="es-ES"/>
        </w:rPr>
        <w:t xml:space="preserve">Por lo tanto, otra manera de analizar el proceso electoral no sólo son las relaciones entre las comunidades indígenas y el Estado, un tema de frecuente interés para los historiadores, sino </w:t>
      </w:r>
      <w:r>
        <w:rPr>
          <w:lang w:val="es-ES"/>
        </w:rPr>
        <w:t xml:space="preserve">como </w:t>
      </w:r>
      <w:r w:rsidRPr="002B0E9B">
        <w:rPr>
          <w:lang w:val="es-ES"/>
        </w:rPr>
        <w:t xml:space="preserve">muestran </w:t>
      </w:r>
      <w:proofErr w:type="spellStart"/>
      <w:r w:rsidRPr="002B0E9B">
        <w:rPr>
          <w:lang w:val="es-ES"/>
        </w:rPr>
        <w:t>Grandin</w:t>
      </w:r>
      <w:proofErr w:type="spellEnd"/>
      <w:r w:rsidRPr="002B0E9B">
        <w:rPr>
          <w:lang w:val="es-ES"/>
        </w:rPr>
        <w:t xml:space="preserve"> y </w:t>
      </w:r>
      <w:proofErr w:type="spellStart"/>
      <w:r w:rsidRPr="002B0E9B">
        <w:rPr>
          <w:lang w:val="es-ES"/>
        </w:rPr>
        <w:t>Alda</w:t>
      </w:r>
      <w:proofErr w:type="spellEnd"/>
      <w:r w:rsidRPr="002B0E9B">
        <w:rPr>
          <w:lang w:val="es-ES"/>
        </w:rPr>
        <w:t xml:space="preserve"> Mejías, la apropiación intercomunitaria de nuevas formas políticas</w:t>
      </w:r>
      <w:r w:rsidRPr="001C4D3B">
        <w:rPr>
          <w:lang w:val="es-ES"/>
        </w:rPr>
        <w:t xml:space="preserve"> para abordar </w:t>
      </w:r>
      <w:r>
        <w:rPr>
          <w:lang w:val="es-ES"/>
        </w:rPr>
        <w:t xml:space="preserve">las </w:t>
      </w:r>
      <w:r w:rsidRPr="001C4D3B">
        <w:rPr>
          <w:lang w:val="es-ES"/>
        </w:rPr>
        <w:t>disparidades a nivel local</w:t>
      </w:r>
      <w:r w:rsidRPr="001C4D3B">
        <w:rPr>
          <w:rStyle w:val="FootnoteReference"/>
        </w:rPr>
        <w:footnoteReference w:id="85"/>
      </w:r>
      <w:r>
        <w:rPr>
          <w:lang w:val="es-ES"/>
        </w:rPr>
        <w:t>.</w:t>
      </w:r>
      <w:r w:rsidRPr="001C4D3B">
        <w:rPr>
          <w:lang w:val="es-ES"/>
        </w:rPr>
        <w:t xml:space="preserve"> Además, </w:t>
      </w:r>
      <w:r>
        <w:rPr>
          <w:lang w:val="es-ES"/>
        </w:rPr>
        <w:t xml:space="preserve">como </w:t>
      </w:r>
      <w:proofErr w:type="spellStart"/>
      <w:r>
        <w:rPr>
          <w:lang w:val="es-ES"/>
        </w:rPr>
        <w:t>Taracena</w:t>
      </w:r>
      <w:proofErr w:type="spellEnd"/>
      <w:r>
        <w:rPr>
          <w:lang w:val="es-ES"/>
        </w:rPr>
        <w:t xml:space="preserve"> Arriola demuestra, </w:t>
      </w:r>
      <w:r w:rsidRPr="001C4D3B">
        <w:rPr>
          <w:lang w:val="es-ES"/>
        </w:rPr>
        <w:t xml:space="preserve">algunas comunidades indígenas supieron </w:t>
      </w:r>
      <w:r w:rsidRPr="001C5E4D">
        <w:rPr>
          <w:lang w:val="es-ES"/>
        </w:rPr>
        <w:t xml:space="preserve">influir en sus organismos representativos tanto en el contexto nacional como el estatal. En 1838, cuando las élites blancas del altiplano de Guatemala avanzaron un proyecto para formar un sexto estado centroamericano, Los Altos, representantes de </w:t>
      </w:r>
      <w:r>
        <w:rPr>
          <w:lang w:val="es-ES"/>
        </w:rPr>
        <w:t>pueblos</w:t>
      </w:r>
      <w:r w:rsidRPr="001C5E4D">
        <w:rPr>
          <w:lang w:val="es-ES"/>
        </w:rPr>
        <w:t xml:space="preserve"> </w:t>
      </w:r>
      <w:r>
        <w:rPr>
          <w:lang w:val="es-ES"/>
        </w:rPr>
        <w:t>indígenas</w:t>
      </w:r>
      <w:r w:rsidRPr="001C5E4D">
        <w:rPr>
          <w:lang w:val="es-ES"/>
        </w:rPr>
        <w:t xml:space="preserve"> se reunieron para manifestar su oposición al proyecto. Según estos, el proyecto incluía planes de recaudar impuestos sobre personas y no sobre las propiedades, es decir, consideraban que se quería fomentar un sistema que favoreciera económicamente a los terratenientes europeo-americanos. A</w:t>
      </w:r>
      <w:r w:rsidRPr="001C4D3B">
        <w:rPr>
          <w:lang w:val="es-ES"/>
        </w:rPr>
        <w:t xml:space="preserve"> lo largo de febrero y marzo, los municipios zutuhiles de San Pedro, San Juan, San Marcos la Laguna y Santiago </w:t>
      </w:r>
      <w:proofErr w:type="spellStart"/>
      <w:r w:rsidRPr="001C4D3B">
        <w:rPr>
          <w:lang w:val="es-ES"/>
        </w:rPr>
        <w:t>Atitlán</w:t>
      </w:r>
      <w:proofErr w:type="spellEnd"/>
      <w:r w:rsidRPr="001C4D3B">
        <w:rPr>
          <w:lang w:val="es-ES"/>
        </w:rPr>
        <w:t xml:space="preserve"> escribieron al gobierno guatemalteco oponiéndose al sexto estado, que según ellos </w:t>
      </w:r>
      <w:r>
        <w:rPr>
          <w:lang w:val="es-ES"/>
        </w:rPr>
        <w:t xml:space="preserve">perjudicaría el comercio con </w:t>
      </w:r>
      <w:r w:rsidRPr="001C4D3B">
        <w:rPr>
          <w:lang w:val="es-ES"/>
        </w:rPr>
        <w:t xml:space="preserve">Ciudad de Guatemala. En otro caso, cuando Quetzaltenango intentó recaudar impuestos en Santa Catarina </w:t>
      </w:r>
      <w:proofErr w:type="spellStart"/>
      <w:r w:rsidRPr="001C4D3B">
        <w:rPr>
          <w:lang w:val="es-ES"/>
        </w:rPr>
        <w:t>Ixtahuacán</w:t>
      </w:r>
      <w:proofErr w:type="spellEnd"/>
      <w:r w:rsidRPr="001C4D3B">
        <w:rPr>
          <w:lang w:val="es-ES"/>
        </w:rPr>
        <w:t xml:space="preserve"> (Sololá) y San </w:t>
      </w:r>
      <w:r w:rsidRPr="001C5E4D">
        <w:rPr>
          <w:lang w:val="es-ES"/>
        </w:rPr>
        <w:t>Sebastián (</w:t>
      </w:r>
      <w:proofErr w:type="spellStart"/>
      <w:r w:rsidRPr="001C5E4D">
        <w:rPr>
          <w:lang w:val="es-ES"/>
        </w:rPr>
        <w:t>Retahuleu</w:t>
      </w:r>
      <w:proofErr w:type="spellEnd"/>
      <w:r w:rsidRPr="001C5E4D">
        <w:rPr>
          <w:lang w:val="es-ES"/>
        </w:rPr>
        <w:t>), las aldeas convocaron cabildos abiertos y se negaron a pagar. Algunas comunidades de las tierras altas recurrieron al gobierno de Guatemala en busca de apoyo, tras comprobar que el Estado solo advirtió quejas contra el proyecto de Los Altos por "súbditos de</w:t>
      </w:r>
      <w:r w:rsidRPr="001C4D3B">
        <w:rPr>
          <w:lang w:val="es-ES"/>
        </w:rPr>
        <w:t xml:space="preserve"> otro [gobierno] independiente". Es decir, los municipios indíge</w:t>
      </w:r>
      <w:r>
        <w:rPr>
          <w:lang w:val="es-ES"/>
        </w:rPr>
        <w:t>nas primero buscaron resolver el</w:t>
      </w:r>
      <w:r w:rsidRPr="001C4D3B">
        <w:rPr>
          <w:lang w:val="es-ES"/>
        </w:rPr>
        <w:t xml:space="preserve"> conflicto </w:t>
      </w:r>
      <w:r>
        <w:rPr>
          <w:lang w:val="es-ES"/>
        </w:rPr>
        <w:t xml:space="preserve">respectando las instituciones representativas tradicionales y nuevas. Enfatizando consulta y no conflicto, cscribieron primero </w:t>
      </w:r>
      <w:r w:rsidRPr="001C4D3B">
        <w:rPr>
          <w:lang w:val="es-ES"/>
        </w:rPr>
        <w:t>directamente con las autorida</w:t>
      </w:r>
      <w:r>
        <w:rPr>
          <w:lang w:val="es-ES"/>
        </w:rPr>
        <w:t>des de Los Altos,</w:t>
      </w:r>
      <w:r w:rsidRPr="001C4D3B">
        <w:rPr>
          <w:lang w:val="es-ES"/>
        </w:rPr>
        <w:t xml:space="preserve"> luego</w:t>
      </w:r>
      <w:r>
        <w:rPr>
          <w:lang w:val="es-ES"/>
        </w:rPr>
        <w:t xml:space="preserve"> buscaron la ayuda de Guatemala,</w:t>
      </w:r>
      <w:r w:rsidRPr="001C4D3B">
        <w:rPr>
          <w:lang w:val="es-ES"/>
        </w:rPr>
        <w:t xml:space="preserve"> confiando tanto en sus representantes en el Congreso como en los cabildos abiertos para </w:t>
      </w:r>
      <w:r w:rsidRPr="001C5E4D">
        <w:rPr>
          <w:lang w:val="es-ES"/>
        </w:rPr>
        <w:t>organizar su respuesta. Solo cuando ambos gobiernos estatales se mostraron sordos a sus quejas</w:t>
      </w:r>
      <w:r>
        <w:rPr>
          <w:lang w:val="es-ES"/>
        </w:rPr>
        <w:t xml:space="preserve"> </w:t>
      </w:r>
      <w:r w:rsidRPr="001C4D3B">
        <w:rPr>
          <w:lang w:val="es-ES"/>
        </w:rPr>
        <w:t xml:space="preserve">se unieron en una insurrección para </w:t>
      </w:r>
      <w:r>
        <w:rPr>
          <w:lang w:val="es-ES"/>
        </w:rPr>
        <w:t>forzar el</w:t>
      </w:r>
      <w:r w:rsidRPr="001C4D3B">
        <w:rPr>
          <w:lang w:val="es-ES"/>
        </w:rPr>
        <w:t xml:space="preserve"> cambio</w:t>
      </w:r>
      <w:r w:rsidRPr="001C4D3B">
        <w:rPr>
          <w:rStyle w:val="FootnoteReference"/>
        </w:rPr>
        <w:footnoteReference w:id="86"/>
      </w:r>
      <w:r w:rsidRPr="0094763D">
        <w:rPr>
          <w:lang w:val="es-ES"/>
        </w:rPr>
        <w:t>.</w:t>
      </w:r>
    </w:p>
    <w:p w14:paraId="0E402EDD" w14:textId="781298F6" w:rsidR="00936C95" w:rsidRPr="008F6823" w:rsidRDefault="00936C95" w:rsidP="001C4D3B">
      <w:pPr>
        <w:spacing w:line="360" w:lineRule="auto"/>
        <w:ind w:firstLine="284"/>
        <w:jc w:val="both"/>
        <w:rPr>
          <w:lang w:val="es-ES"/>
        </w:rPr>
      </w:pPr>
      <w:r w:rsidRPr="001C5E4D">
        <w:rPr>
          <w:lang w:val="es-ES"/>
        </w:rPr>
        <w:t xml:space="preserve">A pesar de la expansión de las instituciones y de las prácticas electorales durante el período federal, las disposiciones que otorgaban a las asambleas legislativas la facultad de decidir en las </w:t>
      </w:r>
      <w:r w:rsidRPr="001C5E4D">
        <w:rPr>
          <w:lang w:val="es-ES"/>
        </w:rPr>
        <w:lastRenderedPageBreak/>
        <w:t xml:space="preserve">disputas electorales </w:t>
      </w:r>
      <w:r>
        <w:rPr>
          <w:lang w:val="es-ES"/>
        </w:rPr>
        <w:t>no siempre respetaron</w:t>
      </w:r>
      <w:r w:rsidRPr="001C5E4D">
        <w:rPr>
          <w:lang w:val="es-ES"/>
        </w:rPr>
        <w:t xml:space="preserve"> la voluntad del pueblo expresado en sus votos. Había precedentes.  La</w:t>
      </w:r>
      <w:r>
        <w:rPr>
          <w:lang w:val="es-ES"/>
        </w:rPr>
        <w:t xml:space="preserve"> Constitución de </w:t>
      </w:r>
      <w:r w:rsidRPr="001C4D3B">
        <w:rPr>
          <w:lang w:val="es-ES"/>
        </w:rPr>
        <w:t>Estados Unidos de 1789 estipuló que el Congreso seleccionaría un presidente si ningún candidato tenía una mayoría absoluta de votos, sirviendo sin duda de modelo para los legisladores centroamericanos</w:t>
      </w:r>
      <w:r w:rsidRPr="001C5E4D">
        <w:rPr>
          <w:lang w:val="es-ES"/>
        </w:rPr>
        <w:t>. Si bien en Estados Unidos esta cláusula rara vez se invocó</w:t>
      </w:r>
      <w:r w:rsidRPr="001C5E4D">
        <w:rPr>
          <w:rStyle w:val="FootnoteReference"/>
        </w:rPr>
        <w:footnoteReference w:id="87"/>
      </w:r>
      <w:r w:rsidRPr="001C5E4D">
        <w:rPr>
          <w:lang w:val="es-ES"/>
        </w:rPr>
        <w:t>,</w:t>
      </w:r>
      <w:r w:rsidRPr="001C5E4D">
        <w:rPr>
          <w:lang w:val="es-ES_tradnl"/>
        </w:rPr>
        <w:t xml:space="preserve"> </w:t>
      </w:r>
      <w:r w:rsidRPr="001C5E4D">
        <w:rPr>
          <w:lang w:val="es-ES"/>
        </w:rPr>
        <w:t xml:space="preserve"> las asambleas istmeñas recurrieron</w:t>
      </w:r>
      <w:r w:rsidRPr="001C4D3B">
        <w:rPr>
          <w:lang w:val="es-ES"/>
        </w:rPr>
        <w:t xml:space="preserve"> reiteradamente a cláusulas similares para "seleccionar", "elegir" o "</w:t>
      </w:r>
      <w:r w:rsidRPr="001C5E4D">
        <w:rPr>
          <w:lang w:val="es-ES"/>
        </w:rPr>
        <w:t>nombrar" a los jefes de estado</w:t>
      </w:r>
      <w:r w:rsidRPr="001C4D3B">
        <w:rPr>
          <w:lang w:val="es-ES"/>
        </w:rPr>
        <w:t>. A nivel federal, el caso más prominente de anulación legislativa del voto popular ocurrió con la primera elección del ejecutivo federal en 1825. En las primeras elecciones federales de Centroamérica, José Cecil</w:t>
      </w:r>
      <w:r>
        <w:rPr>
          <w:lang w:val="es-ES"/>
        </w:rPr>
        <w:t>io del Valle y José Manuel Arce</w:t>
      </w:r>
      <w:r w:rsidRPr="001C4D3B">
        <w:rPr>
          <w:lang w:val="es-ES"/>
        </w:rPr>
        <w:t xml:space="preserve"> recibieron</w:t>
      </w:r>
      <w:r>
        <w:rPr>
          <w:lang w:val="es-ES"/>
        </w:rPr>
        <w:t xml:space="preserve">, </w:t>
      </w:r>
      <w:r w:rsidRPr="001C4D3B">
        <w:rPr>
          <w:lang w:val="es-ES"/>
        </w:rPr>
        <w:t>respectivamente, 41 y 34 votos de 79 distritos electorales aprobados por los congresos federales</w:t>
      </w:r>
      <w:r>
        <w:rPr>
          <w:lang w:val="es-ES"/>
        </w:rPr>
        <w:t>,</w:t>
      </w:r>
      <w:r w:rsidRPr="001C4D3B">
        <w:rPr>
          <w:lang w:val="es-ES"/>
        </w:rPr>
        <w:t xml:space="preserve"> </w:t>
      </w:r>
      <w:r w:rsidRPr="004716C5">
        <w:rPr>
          <w:strike/>
          <w:lang w:val="es-ES"/>
        </w:rPr>
        <w:t>después de</w:t>
      </w:r>
      <w:r w:rsidRPr="001C4D3B">
        <w:rPr>
          <w:lang w:val="es-ES"/>
        </w:rPr>
        <w:t xml:space="preserve"> lo que el historiador</w:t>
      </w:r>
      <w:r>
        <w:rPr>
          <w:lang w:val="es-ES"/>
        </w:rPr>
        <w:t xml:space="preserve"> Ralph Lee </w:t>
      </w:r>
      <w:proofErr w:type="spellStart"/>
      <w:r>
        <w:rPr>
          <w:lang w:val="es-ES"/>
        </w:rPr>
        <w:t>Woodward</w:t>
      </w:r>
      <w:proofErr w:type="spellEnd"/>
      <w:r>
        <w:rPr>
          <w:lang w:val="es-ES"/>
        </w:rPr>
        <w:t xml:space="preserve"> Jr. </w:t>
      </w:r>
      <w:r w:rsidRPr="001C5E4D">
        <w:rPr>
          <w:lang w:val="es-ES"/>
        </w:rPr>
        <w:t>ha descrito como una "campaña enérgica" realizada a través de "un flujo de volantes políticos y</w:t>
      </w:r>
      <w:r w:rsidRPr="001C4D3B">
        <w:rPr>
          <w:lang w:val="es-ES"/>
        </w:rPr>
        <w:t xml:space="preserve"> periódicos</w:t>
      </w:r>
      <w:r>
        <w:rPr>
          <w:lang w:val="es-ES"/>
        </w:rPr>
        <w:t xml:space="preserve"> partidistas</w:t>
      </w:r>
      <w:r w:rsidRPr="001C4D3B">
        <w:rPr>
          <w:lang w:val="es-ES"/>
        </w:rPr>
        <w:t>"</w:t>
      </w:r>
      <w:r w:rsidRPr="001C4D3B">
        <w:rPr>
          <w:rStyle w:val="FootnoteReference"/>
        </w:rPr>
        <w:footnoteReference w:id="88"/>
      </w:r>
      <w:r w:rsidRPr="007C1890">
        <w:rPr>
          <w:lang w:val="es-ES"/>
        </w:rPr>
        <w:t>.</w:t>
      </w:r>
      <w:r>
        <w:rPr>
          <w:lang w:val="es-ES"/>
        </w:rPr>
        <w:t xml:space="preserve"> Con 82 territorios electores y 82 votos posibles, la Asamblea C</w:t>
      </w:r>
      <w:r w:rsidRPr="001C4D3B">
        <w:rPr>
          <w:lang w:val="es-ES"/>
        </w:rPr>
        <w:t>onstituyente determinó que Valle no había recibido una "mayoría" com</w:t>
      </w:r>
      <w:r>
        <w:rPr>
          <w:lang w:val="es-ES"/>
        </w:rPr>
        <w:t>o lo requería la Constitución,</w:t>
      </w:r>
      <w:r w:rsidRPr="001C4D3B">
        <w:rPr>
          <w:lang w:val="es-ES"/>
        </w:rPr>
        <w:t xml:space="preserve"> </w:t>
      </w:r>
      <w:r w:rsidRPr="001C5E4D">
        <w:rPr>
          <w:lang w:val="es-ES"/>
        </w:rPr>
        <w:t>por lo que</w:t>
      </w:r>
      <w:r>
        <w:rPr>
          <w:lang w:val="es-ES"/>
        </w:rPr>
        <w:t xml:space="preserve"> seleccionó a Arce</w:t>
      </w:r>
      <w:r w:rsidRPr="001C4D3B">
        <w:rPr>
          <w:lang w:val="es-ES"/>
        </w:rPr>
        <w:t xml:space="preserve"> a p</w:t>
      </w:r>
      <w:r>
        <w:rPr>
          <w:lang w:val="es-ES"/>
        </w:rPr>
        <w:t>esar de que el Congreso contó só</w:t>
      </w:r>
      <w:r w:rsidRPr="001C4D3B">
        <w:rPr>
          <w:lang w:val="es-ES"/>
        </w:rPr>
        <w:t>lo 79 papeletas y podría haber considerado 41 una</w:t>
      </w:r>
      <w:r>
        <w:rPr>
          <w:lang w:val="es-ES"/>
        </w:rPr>
        <w:t xml:space="preserve"> mayoría</w:t>
      </w:r>
      <w:r w:rsidRPr="001C4D3B">
        <w:rPr>
          <w:lang w:val="es-ES"/>
        </w:rPr>
        <w:t>. Valle, comprensiblemente, rechazó el cargo de vicepresidente. El análisis contempor</w:t>
      </w:r>
      <w:r>
        <w:rPr>
          <w:lang w:val="es-ES"/>
        </w:rPr>
        <w:t xml:space="preserve">áneo de Alejandro </w:t>
      </w:r>
      <w:proofErr w:type="spellStart"/>
      <w:r>
        <w:rPr>
          <w:lang w:val="es-ES"/>
        </w:rPr>
        <w:t>Marure</w:t>
      </w:r>
      <w:proofErr w:type="spellEnd"/>
      <w:r>
        <w:rPr>
          <w:lang w:val="es-ES"/>
        </w:rPr>
        <w:t xml:space="preserve"> comprueba</w:t>
      </w:r>
      <w:r w:rsidRPr="001C4D3B">
        <w:rPr>
          <w:lang w:val="es-ES"/>
        </w:rPr>
        <w:t xml:space="preserve"> la influencia de los partidos políticos en la decisión federal, con un consenso de liberales y conservadores </w:t>
      </w:r>
      <w:r w:rsidRPr="001C5E4D">
        <w:rPr>
          <w:lang w:val="es-ES"/>
        </w:rPr>
        <w:t xml:space="preserve">sobre la elección de Arce después que </w:t>
      </w:r>
      <w:r w:rsidR="00D42C4B">
        <w:rPr>
          <w:lang w:val="es-ES"/>
        </w:rPr>
        <w:t>é</w:t>
      </w:r>
      <w:r w:rsidRPr="001C5E4D">
        <w:rPr>
          <w:lang w:val="es-ES"/>
        </w:rPr>
        <w:t xml:space="preserve">ste indicara que no se involucraría </w:t>
      </w:r>
      <w:r w:rsidR="00B148E3">
        <w:rPr>
          <w:lang w:val="es-ES"/>
        </w:rPr>
        <w:t xml:space="preserve">en </w:t>
      </w:r>
      <w:r w:rsidRPr="00B148E3">
        <w:rPr>
          <w:lang w:val="es-ES"/>
        </w:rPr>
        <w:t xml:space="preserve">buscar </w:t>
      </w:r>
      <w:r w:rsidR="00B148E3">
        <w:rPr>
          <w:lang w:val="es-ES"/>
        </w:rPr>
        <w:t>que se estableciera</w:t>
      </w:r>
      <w:r w:rsidRPr="00B148E3">
        <w:rPr>
          <w:lang w:val="es-ES"/>
        </w:rPr>
        <w:t xml:space="preserve"> </w:t>
      </w:r>
      <w:r w:rsidRPr="001C5E4D">
        <w:rPr>
          <w:lang w:val="es-ES"/>
        </w:rPr>
        <w:t>u</w:t>
      </w:r>
      <w:r w:rsidR="00B148E3">
        <w:rPr>
          <w:lang w:val="es-ES"/>
        </w:rPr>
        <w:t xml:space="preserve">n obispado en su estado natal, </w:t>
      </w:r>
      <w:r w:rsidRPr="001C5E4D">
        <w:rPr>
          <w:lang w:val="es-ES"/>
        </w:rPr>
        <w:t>San Salvador, independiente del arzobispado de Guatemala</w:t>
      </w:r>
      <w:r w:rsidRPr="001C4D3B">
        <w:rPr>
          <w:rStyle w:val="FootnoteReference"/>
        </w:rPr>
        <w:footnoteReference w:id="89"/>
      </w:r>
      <w:r>
        <w:rPr>
          <w:lang w:val="es-ES"/>
        </w:rPr>
        <w:t>.</w:t>
      </w:r>
    </w:p>
    <w:p w14:paraId="4F5280DE" w14:textId="7C831E42" w:rsidR="00936C95" w:rsidRPr="001C5E4D" w:rsidRDefault="00936C95" w:rsidP="001C4D3B">
      <w:pPr>
        <w:spacing w:line="360" w:lineRule="auto"/>
        <w:ind w:firstLine="284"/>
        <w:jc w:val="both"/>
        <w:rPr>
          <w:lang w:val="es-ES_tradnl"/>
        </w:rPr>
      </w:pPr>
      <w:r w:rsidRPr="00D96622">
        <w:rPr>
          <w:lang w:val="es-ES"/>
        </w:rPr>
        <w:t>De acuerdo con este precedente, las asambleas</w:t>
      </w:r>
      <w:r w:rsidRPr="001C4D3B">
        <w:rPr>
          <w:lang w:val="es-ES"/>
        </w:rPr>
        <w:t xml:space="preserve"> legislativas frecuentemente seleccionaron </w:t>
      </w:r>
      <w:r>
        <w:rPr>
          <w:lang w:val="es-ES"/>
        </w:rPr>
        <w:t xml:space="preserve">a </w:t>
      </w:r>
      <w:r w:rsidRPr="001C4D3B">
        <w:rPr>
          <w:lang w:val="es-ES"/>
        </w:rPr>
        <w:t xml:space="preserve">los </w:t>
      </w:r>
      <w:r w:rsidRPr="001C5E4D">
        <w:rPr>
          <w:lang w:val="es-ES"/>
        </w:rPr>
        <w:t xml:space="preserve">líderes nacionales, a veces, en contra de los votos expresos. En el otoño de 1824, la asamblea estatal guatemalteca contabilizó los votos para las primeras elecciones de jefe de Estado. Al descubrir que ningún candidato reunía la mayoría de votos en la elección popular, la asamblea nombró a Juan </w:t>
      </w:r>
      <w:proofErr w:type="spellStart"/>
      <w:r w:rsidRPr="001C5E4D">
        <w:rPr>
          <w:lang w:val="es-ES"/>
        </w:rPr>
        <w:t>Barrundia</w:t>
      </w:r>
      <w:proofErr w:type="spellEnd"/>
      <w:r w:rsidRPr="001C5E4D">
        <w:rPr>
          <w:lang w:val="es-ES"/>
        </w:rPr>
        <w:t xml:space="preserve"> y Cirilo Flores, respectivamente, como jefe y vice-jefe</w:t>
      </w:r>
      <w:r w:rsidRPr="001C5E4D">
        <w:rPr>
          <w:rStyle w:val="FootnoteReference"/>
        </w:rPr>
        <w:footnoteReference w:id="90"/>
      </w:r>
      <w:r w:rsidRPr="001C5E4D">
        <w:rPr>
          <w:lang w:val="es-ES"/>
        </w:rPr>
        <w:t>.</w:t>
      </w:r>
      <w:r w:rsidRPr="001C5E4D">
        <w:rPr>
          <w:lang w:val="es-ES_tradnl"/>
        </w:rPr>
        <w:t xml:space="preserve"> </w:t>
      </w:r>
      <w:r w:rsidRPr="001C5E4D">
        <w:rPr>
          <w:lang w:val="es-ES"/>
        </w:rPr>
        <w:t xml:space="preserve"> </w:t>
      </w:r>
      <w:proofErr w:type="spellStart"/>
      <w:r w:rsidRPr="001C5E4D">
        <w:rPr>
          <w:lang w:val="es-ES"/>
        </w:rPr>
        <w:t>Ethel</w:t>
      </w:r>
      <w:proofErr w:type="spellEnd"/>
      <w:r w:rsidRPr="001C5E4D">
        <w:rPr>
          <w:lang w:val="es-ES"/>
        </w:rPr>
        <w:t xml:space="preserve"> García </w:t>
      </w:r>
      <w:proofErr w:type="spellStart"/>
      <w:r w:rsidRPr="001C5E4D">
        <w:rPr>
          <w:lang w:val="es-ES"/>
        </w:rPr>
        <w:t>Buchard</w:t>
      </w:r>
      <w:proofErr w:type="spellEnd"/>
      <w:r w:rsidRPr="001C5E4D">
        <w:rPr>
          <w:lang w:val="es-ES"/>
        </w:rPr>
        <w:t xml:space="preserve"> ha comprobado un caso paralelo en la selección del primer jefe y vicejefe por parte de la asamblea constituyente hondureña</w:t>
      </w:r>
      <w:r w:rsidRPr="001C5E4D">
        <w:rPr>
          <w:rStyle w:val="FootnoteReference"/>
        </w:rPr>
        <w:footnoteReference w:id="91"/>
      </w:r>
      <w:r w:rsidRPr="001C5E4D">
        <w:rPr>
          <w:lang w:val="es-ES"/>
        </w:rPr>
        <w:t xml:space="preserve">. El estudio de Obregón sobre las elecciones presidenciales </w:t>
      </w:r>
      <w:r w:rsidRPr="001C5E4D">
        <w:rPr>
          <w:lang w:val="es-ES"/>
        </w:rPr>
        <w:lastRenderedPageBreak/>
        <w:t>costarricenses en el siglo XIX destaca múltiples ejemplos de "selección" legislativa de candidatos presidenciales que prevalecieron sobre los votos populares, en gran parte debido a disputas generadas sobre el significado de "pluralidad" o "mayoría" necesaria para ganar</w:t>
      </w:r>
      <w:r w:rsidRPr="001C5E4D">
        <w:rPr>
          <w:rStyle w:val="FootnoteReference"/>
          <w:lang w:val="es-ES"/>
        </w:rPr>
        <w:footnoteReference w:id="92"/>
      </w:r>
      <w:r w:rsidRPr="001C5E4D">
        <w:rPr>
          <w:lang w:val="es-ES"/>
        </w:rPr>
        <w:t xml:space="preserve">. Las legislaturas también podían deponer a los ejecutivos. Avendaño </w:t>
      </w:r>
      <w:r w:rsidR="00746399">
        <w:rPr>
          <w:lang w:val="es-ES"/>
        </w:rPr>
        <w:t>señala</w:t>
      </w:r>
      <w:r w:rsidR="00746399" w:rsidRPr="001C5E4D">
        <w:rPr>
          <w:lang w:val="es-ES"/>
        </w:rPr>
        <w:t xml:space="preserve"> </w:t>
      </w:r>
      <w:r w:rsidRPr="001C5E4D">
        <w:rPr>
          <w:lang w:val="es-ES"/>
        </w:rPr>
        <w:t>que en 1826 la Asamblea Legislativa de Nicaragua usó su facultad para "separar del comando" a los dos</w:t>
      </w:r>
      <w:r>
        <w:rPr>
          <w:lang w:val="es-ES"/>
        </w:rPr>
        <w:t xml:space="preserve"> </w:t>
      </w:r>
      <w:r w:rsidRPr="001C5E4D">
        <w:rPr>
          <w:lang w:val="es-ES"/>
        </w:rPr>
        <w:t>primeros jefes de estado. En los años siguientes, esta Asamblea también eligió al presidente cuando las elecciones no lograron una mayoría</w:t>
      </w:r>
      <w:r w:rsidRPr="001C5E4D">
        <w:rPr>
          <w:rStyle w:val="FootnoteReference"/>
        </w:rPr>
        <w:footnoteReference w:id="93"/>
      </w:r>
      <w:r w:rsidRPr="001C5E4D">
        <w:rPr>
          <w:lang w:val="es-ES"/>
        </w:rPr>
        <w:t>.</w:t>
      </w:r>
      <w:r w:rsidRPr="001C5E4D">
        <w:rPr>
          <w:lang w:val="es-ES_tradnl"/>
        </w:rPr>
        <w:t xml:space="preserve">  </w:t>
      </w:r>
    </w:p>
    <w:p w14:paraId="2B26A169" w14:textId="4D2CC4C9" w:rsidR="00936C95" w:rsidRPr="001C4D3B" w:rsidRDefault="00936C95" w:rsidP="001C4D3B">
      <w:pPr>
        <w:widowControl w:val="0"/>
        <w:autoSpaceDE w:val="0"/>
        <w:autoSpaceDN w:val="0"/>
        <w:adjustRightInd w:val="0"/>
        <w:spacing w:line="360" w:lineRule="auto"/>
        <w:ind w:firstLine="284"/>
        <w:jc w:val="both"/>
        <w:rPr>
          <w:lang w:val="es-ES_tradnl"/>
        </w:rPr>
      </w:pPr>
      <w:r w:rsidRPr="001C5E4D">
        <w:rPr>
          <w:lang w:val="es-ES"/>
        </w:rPr>
        <w:t>Dado que los poderes legislativos contaban las papeletas no solo para los puestos ejecutivos sino también para los poderes judicial y legislativo, también podían influir en el proceso de selección de los miembros de estas instituciones. Es decir, la selección legislativa de los funcionarios estaba más profundamente generalizada si se extiende el enfoque más allá de las elecciones del poder ejecutivo. Ya en 1825, el Congreso Federal rectificó un error de sus miembros, que habían declarado vencedor para el puesto de juez en la corte suprema de justicia a Manuel de la Cerda, quién ya había prestado juramento de su cargo</w:t>
      </w:r>
      <w:r w:rsidRPr="001C5E4D">
        <w:rPr>
          <w:rStyle w:val="FootnoteReference"/>
        </w:rPr>
        <w:footnoteReference w:id="94"/>
      </w:r>
      <w:r w:rsidRPr="001C5E4D">
        <w:rPr>
          <w:lang w:val="es-ES"/>
        </w:rPr>
        <w:t>. Los congresos también influyeron en las elecciones a través de comisiones para examinar las credenciales de los nuevos congresistas, es decir, durante la aprobación o rechazo los resultados de las elecciones. Las comisiones revisaron docenas de casos para cada sesión y aprobaron la mayoría de las credenciales de inmediato. Sin embargo, algunos casos fueron problemáticos. Cuando las deudas del recién electo diputado José Valero plantearon dudas sobre su habilitación como ciudadano y elegibilidad, la comisión electoral del Congreso de Guatemala no estuvo de acuerdo sobre cómo evaluarlas</w:t>
      </w:r>
      <w:r w:rsidRPr="001C5E4D">
        <w:rPr>
          <w:rStyle w:val="FootnoteReference"/>
        </w:rPr>
        <w:footnoteReference w:id="95"/>
      </w:r>
      <w:r w:rsidRPr="001C5E4D">
        <w:rPr>
          <w:lang w:val="es-ES"/>
        </w:rPr>
        <w:t xml:space="preserve">. A pesar de poder influir en </w:t>
      </w:r>
      <w:r w:rsidR="00746399">
        <w:rPr>
          <w:lang w:val="es-ES"/>
        </w:rPr>
        <w:t>é</w:t>
      </w:r>
      <w:r w:rsidRPr="001C5E4D">
        <w:rPr>
          <w:lang w:val="es-ES"/>
        </w:rPr>
        <w:t>ste y otros asuntos, las comisiones reconocieron sus límites. La comisión del congreso de Guatemala de 1829 determinó que carecía de las facultades necesarias para evaluar los actos electorales del departamento de Totonicapán, tras conocerse que "</w:t>
      </w:r>
      <w:r w:rsidRPr="001C5E4D">
        <w:rPr>
          <w:iCs/>
          <w:lang w:val="es-ES"/>
        </w:rPr>
        <w:t xml:space="preserve">los indígenas de </w:t>
      </w:r>
      <w:proofErr w:type="spellStart"/>
      <w:r w:rsidRPr="001C5E4D">
        <w:rPr>
          <w:iCs/>
          <w:lang w:val="es-ES"/>
        </w:rPr>
        <w:t>Momostenango</w:t>
      </w:r>
      <w:proofErr w:type="spellEnd"/>
      <w:r w:rsidRPr="001C5E4D">
        <w:rPr>
          <w:iCs/>
          <w:lang w:val="es-ES"/>
        </w:rPr>
        <w:t xml:space="preserve"> se habían negado a votar hasta que recibieron a su rey</w:t>
      </w:r>
      <w:r w:rsidRPr="001C5E4D">
        <w:rPr>
          <w:lang w:val="es-ES"/>
        </w:rPr>
        <w:t>"</w:t>
      </w:r>
      <w:r w:rsidRPr="001C5E4D">
        <w:rPr>
          <w:rStyle w:val="FootnoteReference"/>
        </w:rPr>
        <w:footnoteReference w:id="96"/>
      </w:r>
      <w:r w:rsidRPr="001C5E4D">
        <w:rPr>
          <w:lang w:val="es-ES"/>
        </w:rPr>
        <w:t>.</w:t>
      </w:r>
      <w:r w:rsidRPr="001C5E4D">
        <w:rPr>
          <w:lang w:val="es-ES_tradnl"/>
        </w:rPr>
        <w:t xml:space="preserve"> </w:t>
      </w:r>
      <w:r w:rsidRPr="001C5E4D">
        <w:rPr>
          <w:lang w:val="es-ES"/>
        </w:rPr>
        <w:t xml:space="preserve"> La última potestad del poder legislativo era examinar las elecciones locales, lo que también podría tener complicadas ramificaciones. Así pues, cuando Nicaragua se encontraba en una guerra civil en 1834 y la </w:t>
      </w:r>
      <w:r w:rsidRPr="001C5E4D">
        <w:rPr>
          <w:lang w:val="es-ES"/>
        </w:rPr>
        <w:lastRenderedPageBreak/>
        <w:t>legislatura, con sede en León, creyó que las actas de varios municipios de Granada se quejaban de "intrigas y opresiones" en los procedimientos electorales, la legislatura anuló las elecciones y ordenó a nuevas, y posiblemente más afines, juntas electorales a que repitieran las elecciones</w:t>
      </w:r>
      <w:r w:rsidRPr="001C5E4D">
        <w:rPr>
          <w:rStyle w:val="FootnoteReference"/>
        </w:rPr>
        <w:footnoteReference w:id="97"/>
      </w:r>
      <w:r w:rsidRPr="001C5E4D">
        <w:rPr>
          <w:lang w:val="es-ES"/>
        </w:rPr>
        <w:t>.</w:t>
      </w:r>
    </w:p>
    <w:p w14:paraId="040B0E0B" w14:textId="77777777" w:rsidR="00936C95" w:rsidRPr="001C4D3B" w:rsidRDefault="00936C95" w:rsidP="001C4D3B">
      <w:pPr>
        <w:spacing w:line="360" w:lineRule="auto"/>
        <w:ind w:firstLine="284"/>
        <w:jc w:val="both"/>
        <w:rPr>
          <w:lang w:val="es-ES"/>
        </w:rPr>
      </w:pPr>
      <w:r w:rsidRPr="001C5E4D">
        <w:rPr>
          <w:lang w:val="es-ES"/>
        </w:rPr>
        <w:t xml:space="preserve">Estos ejemplos destacan el importante papel de las asambleas legislativas y de sus comisiones en la confirmación o rechazo de las elecciones populares, así como en la elección o destitución de jefes de estado. También, muestran la confusa gama de cuestiones que podrían influir en las elecciones populares, sin relacionarse con la coerción y que, sin embargo, potencialmente perturbaron los procesos democráticos. Por lo demás, abundan las pruebas que revelan la invocación selectiva o el total desprecio de los requisitos legales, como en 1826, cuando el grupo que controlaba las comisiones legislativas de Guatemala autorizó la sustitución de todos los miembros del consejo conservador, en lugar de la mitad, para tratar de aumentar su representación en ese órgano. Sin embargo, como observó años más tarde Alejandro </w:t>
      </w:r>
      <w:proofErr w:type="spellStart"/>
      <w:r w:rsidRPr="001C5E4D">
        <w:rPr>
          <w:lang w:val="es-ES"/>
        </w:rPr>
        <w:t>Marure</w:t>
      </w:r>
      <w:proofErr w:type="spellEnd"/>
      <w:r w:rsidRPr="001C5E4D">
        <w:rPr>
          <w:lang w:val="es-ES"/>
        </w:rPr>
        <w:t>, "a</w:t>
      </w:r>
      <w:r w:rsidRPr="001C4D3B">
        <w:rPr>
          <w:lang w:val="es-ES"/>
        </w:rPr>
        <w:t xml:space="preserve"> pesar de los resentimientos que engendraron en los ánimos por los grandes altercados [en l</w:t>
      </w:r>
      <w:r>
        <w:rPr>
          <w:lang w:val="es-ES"/>
        </w:rPr>
        <w:t>os gobiernos federal y estatal]</w:t>
      </w:r>
      <w:r w:rsidRPr="001C4D3B">
        <w:rPr>
          <w:lang w:val="es-ES"/>
        </w:rPr>
        <w:t>... las cosas siguieron con bastante regularidad".</w:t>
      </w:r>
      <w:r w:rsidRPr="001C4D3B">
        <w:rPr>
          <w:rStyle w:val="FootnoteReference"/>
        </w:rPr>
        <w:footnoteReference w:id="98"/>
      </w:r>
      <w:r w:rsidRPr="001C4D3B">
        <w:rPr>
          <w:lang w:val="es-ES"/>
        </w:rPr>
        <w:t xml:space="preserve"> La evidencia documental respalda tanto la existencia de disputas políticas acaloradas como la celebración de elecciones regulares.</w:t>
      </w:r>
    </w:p>
    <w:p w14:paraId="372667C1" w14:textId="77777777" w:rsidR="00936C95" w:rsidRPr="003957F7" w:rsidRDefault="00936C95" w:rsidP="001C4D3B">
      <w:pPr>
        <w:spacing w:line="360" w:lineRule="auto"/>
        <w:ind w:firstLine="284"/>
        <w:jc w:val="both"/>
        <w:rPr>
          <w:lang w:val="es-ES"/>
        </w:rPr>
      </w:pPr>
      <w:r w:rsidRPr="001C4D3B">
        <w:rPr>
          <w:lang w:val="es-ES"/>
        </w:rPr>
        <w:t xml:space="preserve">El papel de las asambleas legislativas en los procesos político y electoral requiere una mayor </w:t>
      </w:r>
      <w:r w:rsidRPr="001C5E4D">
        <w:rPr>
          <w:lang w:val="es-ES"/>
        </w:rPr>
        <w:t>exploración, dada la centralidad adquirida por las legislaturas en los nuevos ordenamientos constitucionales. La descripción del papel del congreso, por ejemplo, se antepone al de los poderes ejecutivos en cada constitución, desde Cádiz en 1812 en adelante</w:t>
      </w:r>
      <w:r w:rsidRPr="001C5E4D">
        <w:rPr>
          <w:rStyle w:val="FootnoteReference"/>
        </w:rPr>
        <w:footnoteReference w:id="99"/>
      </w:r>
      <w:r w:rsidRPr="001C5E4D">
        <w:rPr>
          <w:lang w:val="es-ES"/>
        </w:rPr>
        <w:t>.</w:t>
      </w:r>
      <w:r w:rsidRPr="001C5E4D">
        <w:rPr>
          <w:lang w:val="es-ES_tradnl"/>
        </w:rPr>
        <w:t xml:space="preserve"> </w:t>
      </w:r>
      <w:r w:rsidRPr="001C5E4D">
        <w:rPr>
          <w:lang w:val="es-ES"/>
        </w:rPr>
        <w:t>La mayoría de las constituciones explícitamente otorgaron a las asambleas estatales y federales un margen de maniobra sustancial para aprobar, e incluso elegir, a las autoridades ejecutivas. Sin embargo, si bien los pronunciamientos de las ciudades y los representantes que superaron el proceso electoral son objeto de un serio escrutinio</w:t>
      </w:r>
      <w:r w:rsidRPr="001C5E4D">
        <w:rPr>
          <w:rStyle w:val="FootnoteReference"/>
        </w:rPr>
        <w:footnoteReference w:id="100"/>
      </w:r>
      <w:r w:rsidRPr="001C5E4D">
        <w:rPr>
          <w:lang w:val="es-ES"/>
        </w:rPr>
        <w:t>,</w:t>
      </w:r>
      <w:r w:rsidRPr="001C5E4D">
        <w:rPr>
          <w:lang w:val="es-ES_tradnl"/>
        </w:rPr>
        <w:t xml:space="preserve"> </w:t>
      </w:r>
      <w:r w:rsidRPr="001C5E4D">
        <w:rPr>
          <w:lang w:val="es-ES"/>
        </w:rPr>
        <w:t>los historiadores han pasado por alto en gran medida el examen de los actos legislativos. Tomemos, como simple ejemplo, una decisión tan relevante de la asamblea legislativa de Costa Rica en abril de 1829, de separarse temporalmente</w:t>
      </w:r>
      <w:r w:rsidRPr="001C4D3B">
        <w:rPr>
          <w:lang w:val="es-ES"/>
        </w:rPr>
        <w:t xml:space="preserve"> de la federación "mientras se restableciera el orden federal constitucional"</w:t>
      </w:r>
      <w:r w:rsidRPr="001C4D3B">
        <w:rPr>
          <w:rStyle w:val="FootnoteReference"/>
        </w:rPr>
        <w:footnoteReference w:id="101"/>
      </w:r>
      <w:r w:rsidRPr="003957F7">
        <w:rPr>
          <w:lang w:val="es-ES"/>
        </w:rPr>
        <w:t>.</w:t>
      </w:r>
    </w:p>
    <w:p w14:paraId="576733F3" w14:textId="77777777" w:rsidR="00936C95" w:rsidRPr="001C4D3B" w:rsidRDefault="00936C95" w:rsidP="001C4D3B">
      <w:pPr>
        <w:spacing w:line="360" w:lineRule="auto"/>
        <w:ind w:firstLine="284"/>
        <w:jc w:val="both"/>
        <w:rPr>
          <w:lang w:val="es-ES"/>
        </w:rPr>
      </w:pPr>
      <w:r w:rsidRPr="001C4D3B">
        <w:rPr>
          <w:lang w:val="es-ES"/>
        </w:rPr>
        <w:lastRenderedPageBreak/>
        <w:t>Finalmente, a</w:t>
      </w:r>
      <w:r>
        <w:rPr>
          <w:lang w:val="es-ES"/>
        </w:rPr>
        <w:t>lgunas prácticas políticas del Antiguo R</w:t>
      </w:r>
      <w:r w:rsidRPr="001C4D3B">
        <w:rPr>
          <w:lang w:val="es-ES"/>
        </w:rPr>
        <w:t>égimen continuaron en Centroamérica federal, a pesar de la</w:t>
      </w:r>
      <w:r>
        <w:rPr>
          <w:lang w:val="es-ES"/>
        </w:rPr>
        <w:t xml:space="preserve"> implantación </w:t>
      </w:r>
      <w:r w:rsidRPr="001C4D3B">
        <w:rPr>
          <w:lang w:val="es-ES"/>
        </w:rPr>
        <w:t>de</w:t>
      </w:r>
      <w:r>
        <w:rPr>
          <w:lang w:val="es-ES"/>
        </w:rPr>
        <w:t xml:space="preserve"> una</w:t>
      </w:r>
      <w:r w:rsidRPr="001C4D3B">
        <w:rPr>
          <w:lang w:val="es-ES"/>
        </w:rPr>
        <w:t xml:space="preserve"> estructura </w:t>
      </w:r>
      <w:r>
        <w:rPr>
          <w:lang w:val="es-ES"/>
        </w:rPr>
        <w:t>jurídica y política constitucional</w:t>
      </w:r>
      <w:r w:rsidRPr="001C4D3B">
        <w:rPr>
          <w:lang w:val="es-ES"/>
        </w:rPr>
        <w:t xml:space="preserve">. Las prácticas de petición y </w:t>
      </w:r>
      <w:r w:rsidRPr="001C5E4D">
        <w:rPr>
          <w:lang w:val="es-ES"/>
        </w:rPr>
        <w:t>negociación con las autoridades imperiales, “obedezco pero no cumplo”, no desaparecieron y colaboraron a que el nuevo sistema funcionara cuando fallaron los mecanismos oficiales. Los municipios conservaron su papel de intermediarios entre las comunidades y el gobierno</w:t>
      </w:r>
      <w:r w:rsidRPr="001C4D3B">
        <w:rPr>
          <w:lang w:val="es-ES"/>
        </w:rPr>
        <w:t xml:space="preserve"> estatal, utilizando con frecuencia </w:t>
      </w:r>
      <w:r>
        <w:rPr>
          <w:lang w:val="es-ES"/>
        </w:rPr>
        <w:t xml:space="preserve">las </w:t>
      </w:r>
      <w:r w:rsidRPr="001C4D3B">
        <w:rPr>
          <w:lang w:val="es-ES"/>
        </w:rPr>
        <w:t>consultas, peticiones e incluso pronunciamientos para influir en las políticas y contribuir al ascenso y caída de los gobiernos</w:t>
      </w:r>
      <w:r w:rsidRPr="001C4D3B">
        <w:rPr>
          <w:rStyle w:val="FootnoteReference"/>
        </w:rPr>
        <w:footnoteReference w:id="102"/>
      </w:r>
      <w:r w:rsidRPr="003957F7">
        <w:rPr>
          <w:lang w:val="es-ES"/>
        </w:rPr>
        <w:t>.</w:t>
      </w:r>
      <w:r w:rsidRPr="001C4D3B">
        <w:rPr>
          <w:lang w:val="es-ES"/>
        </w:rPr>
        <w:t xml:space="preserve"> En 1826, por ejemplo, cuando el primer jefe de estado de Nicaragua, Manuel Antonio de la Cerda, fue despedido por la asamblea </w:t>
      </w:r>
      <w:r w:rsidRPr="00D3176C">
        <w:rPr>
          <w:lang w:val="es-ES"/>
        </w:rPr>
        <w:t>legislativa al ser calificado de déspota, varios municipios emitieron actas para llamarlo nuevamente al poder. Cuando dos seleccionados por la asamblea por el puesto de jefe político entraron en guerra, De la Cerda prestó su juramento frente al cabildo de Managua en lugar de hacerlo ante la Asamblea, en contra de lo mandado por la costumbre y la constitución</w:t>
      </w:r>
      <w:r w:rsidRPr="00D3176C">
        <w:rPr>
          <w:rStyle w:val="FootnoteReference"/>
        </w:rPr>
        <w:footnoteReference w:id="103"/>
      </w:r>
    </w:p>
    <w:p w14:paraId="2D40CD24" w14:textId="77777777" w:rsidR="00B148E3" w:rsidRDefault="00B148E3" w:rsidP="001330E7">
      <w:pPr>
        <w:spacing w:line="360" w:lineRule="auto"/>
        <w:jc w:val="both"/>
        <w:rPr>
          <w:b/>
          <w:bCs/>
          <w:lang w:val="es-ES"/>
        </w:rPr>
      </w:pPr>
    </w:p>
    <w:p w14:paraId="2A0AAC15" w14:textId="77777777" w:rsidR="00936C95" w:rsidRPr="001C4D3B" w:rsidRDefault="00936C95" w:rsidP="001330E7">
      <w:pPr>
        <w:spacing w:line="360" w:lineRule="auto"/>
        <w:jc w:val="both"/>
        <w:rPr>
          <w:b/>
          <w:bCs/>
          <w:lang w:val="es-ES"/>
        </w:rPr>
      </w:pPr>
      <w:r w:rsidRPr="001C4D3B">
        <w:rPr>
          <w:b/>
          <w:bCs/>
          <w:lang w:val="es-ES"/>
        </w:rPr>
        <w:t>Conclusión</w:t>
      </w:r>
    </w:p>
    <w:p w14:paraId="76785879" w14:textId="77777777" w:rsidR="00B148E3" w:rsidRDefault="00B148E3" w:rsidP="001C4D3B">
      <w:pPr>
        <w:spacing w:line="360" w:lineRule="auto"/>
        <w:ind w:firstLine="284"/>
        <w:jc w:val="both"/>
        <w:rPr>
          <w:lang w:val="es-ES"/>
        </w:rPr>
      </w:pPr>
    </w:p>
    <w:p w14:paraId="01E718AA" w14:textId="3007F128" w:rsidR="00936C95" w:rsidRPr="005C4630" w:rsidRDefault="00936C95" w:rsidP="001C4D3B">
      <w:pPr>
        <w:spacing w:line="360" w:lineRule="auto"/>
        <w:ind w:firstLine="284"/>
        <w:jc w:val="both"/>
        <w:rPr>
          <w:color w:val="000000" w:themeColor="text1"/>
          <w:lang w:val="es-ES"/>
        </w:rPr>
      </w:pPr>
      <w:r w:rsidRPr="001C4D3B">
        <w:rPr>
          <w:lang w:val="es-ES"/>
        </w:rPr>
        <w:t xml:space="preserve">En 1850, el novelista y estadista </w:t>
      </w:r>
      <w:r>
        <w:rPr>
          <w:lang w:val="es-ES"/>
        </w:rPr>
        <w:t xml:space="preserve">guatemalteco </w:t>
      </w:r>
      <w:r w:rsidRPr="001C4D3B">
        <w:rPr>
          <w:lang w:val="es-ES"/>
        </w:rPr>
        <w:t>José Milla propuso en un editorial que el sistema electoral federal fue "</w:t>
      </w:r>
      <w:r w:rsidRPr="001C4D3B">
        <w:rPr>
          <w:bCs/>
          <w:lang w:val="es-ES"/>
        </w:rPr>
        <w:t>llamado indebidamente popular</w:t>
      </w:r>
      <w:r w:rsidRPr="001C4D3B">
        <w:rPr>
          <w:lang w:val="es-ES"/>
        </w:rPr>
        <w:t>"</w:t>
      </w:r>
      <w:r>
        <w:rPr>
          <w:lang w:val="es-ES"/>
        </w:rPr>
        <w:t xml:space="preserve"> y </w:t>
      </w:r>
      <w:r w:rsidRPr="001C4D3B">
        <w:rPr>
          <w:lang w:val="es-ES"/>
        </w:rPr>
        <w:t>"</w:t>
      </w:r>
      <w:r w:rsidRPr="001C4D3B">
        <w:rPr>
          <w:bCs/>
          <w:lang w:val="es-ES"/>
        </w:rPr>
        <w:t>odiado por las masas y las clases respetables de la sociedad</w:t>
      </w:r>
      <w:r w:rsidRPr="001C4D3B">
        <w:rPr>
          <w:lang w:val="es-ES"/>
        </w:rPr>
        <w:t xml:space="preserve">" por su explotación de indios analfabetos que ignoraban las consecuencias de su </w:t>
      </w:r>
      <w:r w:rsidRPr="005C4630">
        <w:rPr>
          <w:lang w:val="es-ES"/>
        </w:rPr>
        <w:t>voto.</w:t>
      </w:r>
      <w:r w:rsidRPr="005C4630">
        <w:rPr>
          <w:rStyle w:val="FootnoteReference"/>
        </w:rPr>
        <w:footnoteReference w:id="104"/>
      </w:r>
      <w:r w:rsidRPr="005C4630">
        <w:rPr>
          <w:lang w:val="es-ES_tradnl"/>
        </w:rPr>
        <w:t xml:space="preserve"> </w:t>
      </w:r>
      <w:r w:rsidRPr="005C4630">
        <w:rPr>
          <w:lang w:val="es-ES"/>
        </w:rPr>
        <w:t xml:space="preserve"> Como sugiere la discusión anterior, esta opinión despectiva puede representar valores </w:t>
      </w:r>
      <w:r w:rsidRPr="005C4630">
        <w:rPr>
          <w:color w:val="000000" w:themeColor="text1"/>
          <w:lang w:val="es-ES"/>
        </w:rPr>
        <w:t xml:space="preserve">decimonónicos y no el compromiso popular o </w:t>
      </w:r>
      <w:r w:rsidR="00746399">
        <w:rPr>
          <w:color w:val="000000" w:themeColor="text1"/>
          <w:lang w:val="es-ES"/>
        </w:rPr>
        <w:t xml:space="preserve">de la </w:t>
      </w:r>
      <w:r w:rsidRPr="005C4630">
        <w:rPr>
          <w:color w:val="000000" w:themeColor="text1"/>
          <w:lang w:val="es-ES"/>
        </w:rPr>
        <w:t xml:space="preserve">élite con la política electoral en el cuarto siglo después de la independencia. </w:t>
      </w:r>
      <w:r>
        <w:rPr>
          <w:color w:val="000000" w:themeColor="text1"/>
          <w:lang w:val="es-ES"/>
        </w:rPr>
        <w:t>Desde 1809 hasta la época de Milla</w:t>
      </w:r>
      <w:r w:rsidRPr="005C4630">
        <w:rPr>
          <w:color w:val="000000" w:themeColor="text1"/>
          <w:lang w:val="es-ES"/>
        </w:rPr>
        <w:t xml:space="preserve">, se llevaban a cabo </w:t>
      </w:r>
      <w:r w:rsidRPr="00D61698">
        <w:rPr>
          <w:color w:val="000000" w:themeColor="text1"/>
          <w:lang w:val="es-ES"/>
        </w:rPr>
        <w:t>a un ritmo alucinante</w:t>
      </w:r>
      <w:r>
        <w:rPr>
          <w:color w:val="000000" w:themeColor="text1"/>
          <w:lang w:val="es-ES"/>
        </w:rPr>
        <w:t xml:space="preserve"> </w:t>
      </w:r>
      <w:r w:rsidRPr="005C4630">
        <w:rPr>
          <w:color w:val="000000" w:themeColor="text1"/>
          <w:lang w:val="es-ES"/>
        </w:rPr>
        <w:t xml:space="preserve">elecciones locales, distritales y departamentales para puestos en los consejos municipales, </w:t>
      </w:r>
      <w:r w:rsidR="00D61698">
        <w:rPr>
          <w:color w:val="000000" w:themeColor="text1"/>
          <w:lang w:val="es-ES"/>
        </w:rPr>
        <w:t xml:space="preserve">en el </w:t>
      </w:r>
      <w:r w:rsidRPr="005C4630">
        <w:rPr>
          <w:color w:val="000000" w:themeColor="text1"/>
          <w:lang w:val="es-ES"/>
        </w:rPr>
        <w:t xml:space="preserve">poder judicial, </w:t>
      </w:r>
      <w:r w:rsidR="00D61698">
        <w:rPr>
          <w:color w:val="000000" w:themeColor="text1"/>
          <w:lang w:val="es-ES"/>
        </w:rPr>
        <w:t xml:space="preserve">las </w:t>
      </w:r>
      <w:r w:rsidRPr="005C4630">
        <w:rPr>
          <w:color w:val="000000" w:themeColor="text1"/>
          <w:lang w:val="es-ES"/>
        </w:rPr>
        <w:t xml:space="preserve">legislaturas y </w:t>
      </w:r>
      <w:r w:rsidR="00D61698">
        <w:rPr>
          <w:color w:val="000000" w:themeColor="text1"/>
          <w:lang w:val="es-ES"/>
        </w:rPr>
        <w:t xml:space="preserve">el </w:t>
      </w:r>
      <w:r w:rsidRPr="005C4630">
        <w:rPr>
          <w:color w:val="000000" w:themeColor="text1"/>
          <w:lang w:val="es-ES"/>
        </w:rPr>
        <w:t xml:space="preserve">poder ejecutivo de manera regular, </w:t>
      </w:r>
      <w:r w:rsidR="00746399">
        <w:rPr>
          <w:color w:val="000000" w:themeColor="text1"/>
          <w:lang w:val="es-ES"/>
        </w:rPr>
        <w:t xml:space="preserve">las cuales incorporaron </w:t>
      </w:r>
      <w:r w:rsidRPr="00D61698">
        <w:rPr>
          <w:color w:val="000000" w:themeColor="text1"/>
          <w:lang w:val="es-ES"/>
        </w:rPr>
        <w:t xml:space="preserve">una constelación de cambios en las leyes y reglamentos </w:t>
      </w:r>
      <w:proofErr w:type="gramStart"/>
      <w:r w:rsidRPr="00D61698">
        <w:rPr>
          <w:color w:val="000000" w:themeColor="text1"/>
          <w:lang w:val="es-ES"/>
        </w:rPr>
        <w:t>electorales</w:t>
      </w:r>
      <w:proofErr w:type="gramEnd"/>
      <w:r w:rsidRPr="005C4630">
        <w:rPr>
          <w:color w:val="000000" w:themeColor="text1"/>
          <w:lang w:val="es-ES"/>
        </w:rPr>
        <w:t xml:space="preserve"> </w:t>
      </w:r>
      <w:r w:rsidR="00746399">
        <w:rPr>
          <w:color w:val="000000" w:themeColor="text1"/>
          <w:lang w:val="es-ES"/>
        </w:rPr>
        <w:t xml:space="preserve">así como </w:t>
      </w:r>
      <w:r w:rsidRPr="005C4630">
        <w:rPr>
          <w:color w:val="000000" w:themeColor="text1"/>
          <w:lang w:val="es-ES"/>
        </w:rPr>
        <w:t>cambios irregulares en el liderazgo de los gobiernos estatales y federales.</w:t>
      </w:r>
      <w:r>
        <w:rPr>
          <w:color w:val="000000" w:themeColor="text1"/>
          <w:lang w:val="es-ES"/>
        </w:rPr>
        <w:t xml:space="preserve">  </w:t>
      </w:r>
      <w:r>
        <w:rPr>
          <w:lang w:val="es-ES"/>
        </w:rPr>
        <w:t xml:space="preserve">El proceso </w:t>
      </w:r>
      <w:r w:rsidR="00D61698">
        <w:rPr>
          <w:lang w:val="es-ES"/>
        </w:rPr>
        <w:t xml:space="preserve">electoral </w:t>
      </w:r>
      <w:r w:rsidR="005E2FEC">
        <w:rPr>
          <w:lang w:val="es-ES"/>
        </w:rPr>
        <w:t xml:space="preserve">continuó </w:t>
      </w:r>
      <w:r w:rsidR="005E2FEC" w:rsidRPr="001C4D3B">
        <w:rPr>
          <w:lang w:val="es-ES"/>
        </w:rPr>
        <w:t>a</w:t>
      </w:r>
      <w:r w:rsidRPr="001C4D3B">
        <w:rPr>
          <w:lang w:val="es-ES"/>
        </w:rPr>
        <w:t xml:space="preserve"> pesar de </w:t>
      </w:r>
      <w:r w:rsidR="00D61698">
        <w:rPr>
          <w:lang w:val="es-ES"/>
        </w:rPr>
        <w:t xml:space="preserve">las </w:t>
      </w:r>
      <w:r w:rsidRPr="001C4D3B">
        <w:rPr>
          <w:lang w:val="es-ES"/>
        </w:rPr>
        <w:t xml:space="preserve">guerras </w:t>
      </w:r>
      <w:r>
        <w:rPr>
          <w:lang w:val="es-ES"/>
        </w:rPr>
        <w:t xml:space="preserve">regionales </w:t>
      </w:r>
      <w:r w:rsidRPr="001C4D3B">
        <w:rPr>
          <w:lang w:val="es-ES"/>
        </w:rPr>
        <w:t xml:space="preserve">y </w:t>
      </w:r>
      <w:r w:rsidR="00D61698">
        <w:rPr>
          <w:lang w:val="es-ES"/>
        </w:rPr>
        <w:t xml:space="preserve">los </w:t>
      </w:r>
      <w:r w:rsidRPr="001C4D3B">
        <w:rPr>
          <w:lang w:val="es-ES"/>
        </w:rPr>
        <w:t xml:space="preserve">gobiernos estatales y federales inestables. </w:t>
      </w:r>
      <w:r>
        <w:rPr>
          <w:lang w:val="es-ES"/>
        </w:rPr>
        <w:t xml:space="preserve">Concurrieron </w:t>
      </w:r>
      <w:r w:rsidRPr="001C4D3B">
        <w:rPr>
          <w:lang w:val="es-ES"/>
        </w:rPr>
        <w:t xml:space="preserve">muchas </w:t>
      </w:r>
      <w:r>
        <w:rPr>
          <w:lang w:val="es-ES"/>
        </w:rPr>
        <w:t>personas (y muchas veces las mismas, década tras década) a</w:t>
      </w:r>
      <w:r w:rsidRPr="001C4D3B">
        <w:rPr>
          <w:lang w:val="es-ES"/>
        </w:rPr>
        <w:t xml:space="preserve"> votar y </w:t>
      </w:r>
      <w:r>
        <w:rPr>
          <w:lang w:val="es-ES"/>
        </w:rPr>
        <w:t>ser</w:t>
      </w:r>
      <w:r w:rsidRPr="001C4D3B">
        <w:rPr>
          <w:lang w:val="es-ES"/>
        </w:rPr>
        <w:t xml:space="preserve"> </w:t>
      </w:r>
      <w:r w:rsidRPr="001C4D3B">
        <w:rPr>
          <w:lang w:val="es-ES"/>
        </w:rPr>
        <w:lastRenderedPageBreak/>
        <w:t>elegidas</w:t>
      </w:r>
      <w:r>
        <w:rPr>
          <w:lang w:val="es-ES"/>
        </w:rPr>
        <w:t xml:space="preserve">, </w:t>
      </w:r>
      <w:r w:rsidRPr="001C4D3B">
        <w:rPr>
          <w:lang w:val="es-ES"/>
        </w:rPr>
        <w:t>participa</w:t>
      </w:r>
      <w:r>
        <w:rPr>
          <w:lang w:val="es-ES"/>
        </w:rPr>
        <w:t>ndo regular y</w:t>
      </w:r>
      <w:r w:rsidRPr="001C4D3B">
        <w:rPr>
          <w:lang w:val="es-ES"/>
        </w:rPr>
        <w:t xml:space="preserve"> activamente entre 1808 y 1839</w:t>
      </w:r>
      <w:r>
        <w:rPr>
          <w:lang w:val="es-ES"/>
        </w:rPr>
        <w:t xml:space="preserve"> en </w:t>
      </w:r>
      <w:r w:rsidR="005E2FEC">
        <w:rPr>
          <w:lang w:val="es-ES"/>
        </w:rPr>
        <w:t xml:space="preserve">ensayar </w:t>
      </w:r>
      <w:r>
        <w:rPr>
          <w:lang w:val="es-ES"/>
        </w:rPr>
        <w:t>el gobierno republicano</w:t>
      </w:r>
      <w:r w:rsidRPr="001C4D3B">
        <w:rPr>
          <w:lang w:val="es-ES"/>
        </w:rPr>
        <w:t>.</w:t>
      </w:r>
      <w:r>
        <w:rPr>
          <w:lang w:val="es-ES"/>
        </w:rPr>
        <w:t xml:space="preserve">  De cierto modo, fue una transición exitosa.</w:t>
      </w:r>
    </w:p>
    <w:p w14:paraId="042FD87F" w14:textId="56521EE6" w:rsidR="00370A03" w:rsidRDefault="00936C95" w:rsidP="001C4D3B">
      <w:pPr>
        <w:spacing w:line="360" w:lineRule="auto"/>
        <w:ind w:firstLine="284"/>
        <w:jc w:val="both"/>
        <w:rPr>
          <w:lang w:val="es-ES"/>
        </w:rPr>
      </w:pPr>
      <w:r>
        <w:rPr>
          <w:color w:val="000000" w:themeColor="text1"/>
          <w:lang w:val="es-ES"/>
        </w:rPr>
        <w:t>Sin embargo, e</w:t>
      </w:r>
      <w:r>
        <w:rPr>
          <w:lang w:val="es-ES"/>
        </w:rPr>
        <w:t>sta</w:t>
      </w:r>
      <w:r w:rsidRPr="001C4D3B">
        <w:rPr>
          <w:lang w:val="es-ES"/>
        </w:rPr>
        <w:t xml:space="preserve"> experiencia centroamericana</w:t>
      </w:r>
      <w:r>
        <w:rPr>
          <w:lang w:val="es-ES"/>
        </w:rPr>
        <w:t xml:space="preserve"> en implementar regímenes políticos y jurídicos democráticos</w:t>
      </w:r>
      <w:r w:rsidRPr="001C4D3B">
        <w:rPr>
          <w:lang w:val="es-ES"/>
        </w:rPr>
        <w:t xml:space="preserve"> </w:t>
      </w:r>
      <w:r w:rsidRPr="00D61698">
        <w:rPr>
          <w:color w:val="000000" w:themeColor="text1"/>
          <w:lang w:val="es-ES"/>
        </w:rPr>
        <w:t xml:space="preserve">podría haber </w:t>
      </w:r>
      <w:r w:rsidR="00D61698" w:rsidRPr="00D61698">
        <w:rPr>
          <w:color w:val="000000" w:themeColor="text1"/>
          <w:lang w:val="es-ES"/>
        </w:rPr>
        <w:t>inspirado desagrado entre</w:t>
      </w:r>
      <w:r w:rsidRPr="00D61698">
        <w:rPr>
          <w:color w:val="000000" w:themeColor="text1"/>
          <w:lang w:val="es-ES"/>
        </w:rPr>
        <w:t xml:space="preserve"> los ciudadanos por </w:t>
      </w:r>
      <w:r w:rsidR="00746399">
        <w:rPr>
          <w:color w:val="000000" w:themeColor="text1"/>
          <w:lang w:val="es-ES"/>
        </w:rPr>
        <w:t>estar</w:t>
      </w:r>
      <w:r w:rsidR="00746399" w:rsidRPr="00D61698">
        <w:rPr>
          <w:color w:val="000000" w:themeColor="text1"/>
          <w:lang w:val="es-ES"/>
        </w:rPr>
        <w:t xml:space="preserve"> </w:t>
      </w:r>
      <w:r w:rsidRPr="001C4D3B">
        <w:rPr>
          <w:lang w:val="es-ES"/>
        </w:rPr>
        <w:t xml:space="preserve">marcada por </w:t>
      </w:r>
      <w:r>
        <w:rPr>
          <w:lang w:val="es-ES"/>
        </w:rPr>
        <w:t>las</w:t>
      </w:r>
      <w:r w:rsidRPr="001C4D3B">
        <w:rPr>
          <w:lang w:val="es-ES"/>
        </w:rPr>
        <w:t xml:space="preserve"> características </w:t>
      </w:r>
      <w:r>
        <w:rPr>
          <w:lang w:val="es-ES"/>
        </w:rPr>
        <w:t>descritas</w:t>
      </w:r>
      <w:r w:rsidRPr="001C4D3B">
        <w:rPr>
          <w:lang w:val="es-ES"/>
        </w:rPr>
        <w:t xml:space="preserve"> </w:t>
      </w:r>
      <w:r w:rsidRPr="00D3176C">
        <w:rPr>
          <w:color w:val="000000" w:themeColor="text1"/>
          <w:lang w:val="es-ES"/>
        </w:rPr>
        <w:t>en este artículo</w:t>
      </w:r>
      <w:r w:rsidRPr="001C4D3B">
        <w:rPr>
          <w:lang w:val="es-ES"/>
        </w:rPr>
        <w:t xml:space="preserve">. Primero, para la mayoría de ciudadanos, </w:t>
      </w:r>
      <w:r>
        <w:rPr>
          <w:lang w:val="es-ES"/>
        </w:rPr>
        <w:t xml:space="preserve">aunque los gobiernos pedían una inversión importante de su tiempo y atención, la votación solo les permitía </w:t>
      </w:r>
      <w:r w:rsidRPr="001C4D3B">
        <w:rPr>
          <w:lang w:val="es-ES"/>
        </w:rPr>
        <w:t xml:space="preserve">elegir </w:t>
      </w:r>
      <w:r>
        <w:rPr>
          <w:lang w:val="es-ES"/>
        </w:rPr>
        <w:t xml:space="preserve">directamente a </w:t>
      </w:r>
      <w:r w:rsidRPr="001C4D3B">
        <w:rPr>
          <w:lang w:val="es-ES"/>
        </w:rPr>
        <w:t xml:space="preserve">las autoridades locales y miembros de las juntas electorales de </w:t>
      </w:r>
      <w:r>
        <w:rPr>
          <w:lang w:val="es-ES"/>
        </w:rPr>
        <w:t xml:space="preserve">su </w:t>
      </w:r>
      <w:r w:rsidRPr="001C4D3B">
        <w:rPr>
          <w:lang w:val="es-ES"/>
        </w:rPr>
        <w:t>distrito. Ya sea que uno crea en el valor de este sistema de "colegio electoral" o no, es importante darse cuenta que</w:t>
      </w:r>
      <w:r>
        <w:rPr>
          <w:lang w:val="es-ES"/>
        </w:rPr>
        <w:t>, durante la federación,</w:t>
      </w:r>
      <w:r w:rsidRPr="001C4D3B">
        <w:rPr>
          <w:lang w:val="es-ES"/>
        </w:rPr>
        <w:t xml:space="preserve"> </w:t>
      </w:r>
      <w:r>
        <w:rPr>
          <w:lang w:val="es-ES"/>
        </w:rPr>
        <w:t xml:space="preserve">gracias al sistema </w:t>
      </w:r>
      <w:r w:rsidRPr="007F7575">
        <w:rPr>
          <w:lang w:val="es-ES"/>
        </w:rPr>
        <w:t>‘</w:t>
      </w:r>
      <w:proofErr w:type="spellStart"/>
      <w:r w:rsidRPr="007F7575">
        <w:rPr>
          <w:lang w:val="es-ES"/>
        </w:rPr>
        <w:t>selectoral</w:t>
      </w:r>
      <w:proofErr w:type="spellEnd"/>
      <w:r w:rsidRPr="007F7575">
        <w:rPr>
          <w:lang w:val="es-ES"/>
        </w:rPr>
        <w:t>’</w:t>
      </w:r>
      <w:r>
        <w:rPr>
          <w:lang w:val="es-ES"/>
        </w:rPr>
        <w:t>,</w:t>
      </w:r>
      <w:r w:rsidRPr="007F7575">
        <w:rPr>
          <w:lang w:val="es-ES"/>
        </w:rPr>
        <w:t xml:space="preserve"> </w:t>
      </w:r>
      <w:r w:rsidRPr="00D61698">
        <w:rPr>
          <w:color w:val="000000" w:themeColor="text1"/>
          <w:lang w:val="es-ES"/>
        </w:rPr>
        <w:t>la mayoría de ciudadanos ejerciendo sus dere</w:t>
      </w:r>
      <w:r w:rsidR="00D61698" w:rsidRPr="00D61698">
        <w:rPr>
          <w:color w:val="000000" w:themeColor="text1"/>
          <w:lang w:val="es-ES"/>
        </w:rPr>
        <w:t xml:space="preserve">chos no podían ni </w:t>
      </w:r>
      <w:r w:rsidR="00DA3095" w:rsidRPr="004716C5">
        <w:rPr>
          <w:color w:val="000000" w:themeColor="text1"/>
          <w:lang w:val="es-ES"/>
        </w:rPr>
        <w:t>votar</w:t>
      </w:r>
      <w:r w:rsidR="00D61698" w:rsidRPr="00D61698">
        <w:rPr>
          <w:color w:val="000000" w:themeColor="text1"/>
          <w:lang w:val="es-ES"/>
        </w:rPr>
        <w:t xml:space="preserve">, </w:t>
      </w:r>
      <w:r w:rsidRPr="00D61698">
        <w:rPr>
          <w:color w:val="000000" w:themeColor="text1"/>
          <w:lang w:val="es-ES"/>
        </w:rPr>
        <w:t>ni recomendar</w:t>
      </w:r>
      <w:r w:rsidR="00D61698">
        <w:rPr>
          <w:color w:val="000000" w:themeColor="text1"/>
          <w:lang w:val="es-ES"/>
        </w:rPr>
        <w:t xml:space="preserve"> a</w:t>
      </w:r>
      <w:r w:rsidRPr="001C4D3B">
        <w:rPr>
          <w:lang w:val="es-ES"/>
        </w:rPr>
        <w:t xml:space="preserve"> un candidato </w:t>
      </w:r>
      <w:r>
        <w:rPr>
          <w:lang w:val="es-ES"/>
        </w:rPr>
        <w:t>de</w:t>
      </w:r>
      <w:r w:rsidRPr="001C4D3B">
        <w:rPr>
          <w:lang w:val="es-ES"/>
        </w:rPr>
        <w:t xml:space="preserve"> alto cargo</w:t>
      </w:r>
      <w:r w:rsidR="00417720">
        <w:rPr>
          <w:lang w:val="es-ES"/>
        </w:rPr>
        <w:t>.</w:t>
      </w:r>
      <w:r w:rsidRPr="001C4D3B">
        <w:rPr>
          <w:lang w:val="es-ES"/>
        </w:rPr>
        <w:t xml:space="preserve"> </w:t>
      </w:r>
      <w:r w:rsidR="00691E3C">
        <w:rPr>
          <w:lang w:val="es-ES"/>
        </w:rPr>
        <w:t>Lo</w:t>
      </w:r>
      <w:r w:rsidR="003E5466" w:rsidRPr="001C4D3B">
        <w:rPr>
          <w:lang w:val="es-ES"/>
        </w:rPr>
        <w:t>s legisladores</w:t>
      </w:r>
      <w:r w:rsidR="00691E3C">
        <w:rPr>
          <w:lang w:val="es-ES"/>
        </w:rPr>
        <w:t xml:space="preserve"> federales y estatales</w:t>
      </w:r>
      <w:r w:rsidR="00F3325C">
        <w:rPr>
          <w:lang w:val="es-ES"/>
        </w:rPr>
        <w:t>, con experiencia en el ‘experimento de Cádiz’ planificaron</w:t>
      </w:r>
      <w:r w:rsidR="00691E3C">
        <w:rPr>
          <w:lang w:val="es-ES"/>
        </w:rPr>
        <w:t xml:space="preserve"> una transición </w:t>
      </w:r>
      <w:r w:rsidR="00D85E1B">
        <w:rPr>
          <w:lang w:val="es-ES"/>
        </w:rPr>
        <w:t>graduada</w:t>
      </w:r>
      <w:r w:rsidR="00F3325C">
        <w:rPr>
          <w:lang w:val="es-ES"/>
        </w:rPr>
        <w:t xml:space="preserve"> </w:t>
      </w:r>
      <w:r w:rsidR="003E5466" w:rsidRPr="001C4D3B">
        <w:rPr>
          <w:lang w:val="es-ES"/>
        </w:rPr>
        <w:t xml:space="preserve">de </w:t>
      </w:r>
      <w:r w:rsidR="00D85E1B">
        <w:rPr>
          <w:lang w:val="es-ES"/>
        </w:rPr>
        <w:t>una</w:t>
      </w:r>
      <w:r w:rsidR="003E5466" w:rsidRPr="001C4D3B">
        <w:rPr>
          <w:lang w:val="es-ES"/>
        </w:rPr>
        <w:t xml:space="preserve"> estructura </w:t>
      </w:r>
      <w:r w:rsidR="00F3325C">
        <w:rPr>
          <w:lang w:val="es-ES"/>
        </w:rPr>
        <w:t xml:space="preserve">constitucional </w:t>
      </w:r>
      <w:r w:rsidR="00D85E1B">
        <w:rPr>
          <w:lang w:val="es-ES"/>
        </w:rPr>
        <w:t>monárquica</w:t>
      </w:r>
      <w:r w:rsidR="003E5466" w:rsidRPr="001C4D3B">
        <w:rPr>
          <w:lang w:val="es-ES"/>
        </w:rPr>
        <w:t xml:space="preserve"> </w:t>
      </w:r>
      <w:r w:rsidR="00F3325C">
        <w:rPr>
          <w:lang w:val="es-ES"/>
        </w:rPr>
        <w:t xml:space="preserve">a </w:t>
      </w:r>
      <w:r w:rsidR="00D85E1B">
        <w:rPr>
          <w:lang w:val="es-ES"/>
        </w:rPr>
        <w:t>una</w:t>
      </w:r>
      <w:r w:rsidR="003E5466" w:rsidRPr="001C4D3B">
        <w:rPr>
          <w:lang w:val="es-ES"/>
        </w:rPr>
        <w:t xml:space="preserve"> </w:t>
      </w:r>
      <w:r w:rsidR="00F3325C">
        <w:rPr>
          <w:lang w:val="es-ES"/>
        </w:rPr>
        <w:t>republicana</w:t>
      </w:r>
      <w:r w:rsidR="00D85E1B">
        <w:rPr>
          <w:lang w:val="es-ES"/>
        </w:rPr>
        <w:t>.</w:t>
      </w:r>
      <w:r w:rsidR="003E5466" w:rsidRPr="001C4D3B">
        <w:rPr>
          <w:lang w:val="es-ES"/>
        </w:rPr>
        <w:t xml:space="preserve"> La legislación y los debates a menudo reflejan esfuerzos racionales, racionados y de buena fe para combinar lo viejo con lo nuevo. </w:t>
      </w:r>
      <w:r w:rsidR="00370A03">
        <w:rPr>
          <w:lang w:val="es-ES"/>
        </w:rPr>
        <w:t xml:space="preserve">En pasar al sorteo a las elecciones indirectas que </w:t>
      </w:r>
      <w:proofErr w:type="spellStart"/>
      <w:r w:rsidR="00370A03">
        <w:rPr>
          <w:lang w:val="es-ES"/>
        </w:rPr>
        <w:t>priviligieron</w:t>
      </w:r>
      <w:proofErr w:type="spellEnd"/>
      <w:r w:rsidR="00370A03">
        <w:rPr>
          <w:lang w:val="es-ES"/>
        </w:rPr>
        <w:t xml:space="preserve"> candidatos elites, el caso centroamericano parece confirmar en Hispanoamérica la importancia de la selección de gobernantes en sistemas representativos, identificados por Bernard </w:t>
      </w:r>
      <w:proofErr w:type="spellStart"/>
      <w:r w:rsidR="00370A03">
        <w:rPr>
          <w:lang w:val="es-ES"/>
        </w:rPr>
        <w:t>Manin</w:t>
      </w:r>
      <w:proofErr w:type="spellEnd"/>
      <w:r w:rsidR="00370A03">
        <w:rPr>
          <w:lang w:val="es-ES"/>
        </w:rPr>
        <w:t xml:space="preserve"> desde los griegos y romanos hasta los regímenes establecidos en Inglaterra, Francia y Estados Unidos</w:t>
      </w:r>
      <w:r w:rsidR="00370A03" w:rsidRPr="00370A03">
        <w:rPr>
          <w:lang w:val="es-ES"/>
        </w:rPr>
        <w:t xml:space="preserve"> </w:t>
      </w:r>
      <w:r w:rsidR="00370A03">
        <w:rPr>
          <w:lang w:val="es-ES"/>
        </w:rPr>
        <w:t>modernos.</w:t>
      </w:r>
      <w:r w:rsidR="00370A03">
        <w:rPr>
          <w:rStyle w:val="FootnoteReference"/>
          <w:lang w:val="es-ES"/>
        </w:rPr>
        <w:footnoteReference w:id="105"/>
      </w:r>
      <w:r w:rsidR="00370A03">
        <w:rPr>
          <w:lang w:val="es-ES"/>
        </w:rPr>
        <w:t xml:space="preserve"> </w:t>
      </w:r>
    </w:p>
    <w:p w14:paraId="19A9EB3B" w14:textId="013A8DB7" w:rsidR="00116AEB" w:rsidRDefault="003E05D1" w:rsidP="001C4D3B">
      <w:pPr>
        <w:spacing w:line="360" w:lineRule="auto"/>
        <w:ind w:firstLine="284"/>
        <w:jc w:val="both"/>
        <w:rPr>
          <w:lang w:val="es-ES"/>
        </w:rPr>
      </w:pPr>
      <w:r>
        <w:rPr>
          <w:lang w:val="es-ES"/>
        </w:rPr>
        <w:t xml:space="preserve">Pero, </w:t>
      </w:r>
      <w:r w:rsidR="00F3325C">
        <w:rPr>
          <w:lang w:val="es-ES"/>
        </w:rPr>
        <w:t xml:space="preserve">la </w:t>
      </w:r>
      <w:r w:rsidR="00D6770C">
        <w:rPr>
          <w:lang w:val="es-ES"/>
        </w:rPr>
        <w:t xml:space="preserve">consecuencia distinta – o al menos no considerada por </w:t>
      </w:r>
      <w:proofErr w:type="spellStart"/>
      <w:r w:rsidR="00D6770C">
        <w:rPr>
          <w:lang w:val="es-ES"/>
        </w:rPr>
        <w:t>Manin</w:t>
      </w:r>
      <w:proofErr w:type="spellEnd"/>
      <w:r w:rsidR="00D6770C">
        <w:rPr>
          <w:lang w:val="es-ES"/>
        </w:rPr>
        <w:t>--</w:t>
      </w:r>
      <w:r w:rsidR="00F3325C">
        <w:rPr>
          <w:lang w:val="es-ES"/>
        </w:rPr>
        <w:t xml:space="preserve"> </w:t>
      </w:r>
      <w:r>
        <w:rPr>
          <w:lang w:val="es-ES"/>
        </w:rPr>
        <w:t xml:space="preserve">como </w:t>
      </w:r>
      <w:r w:rsidR="00F3325C">
        <w:rPr>
          <w:lang w:val="es-ES"/>
        </w:rPr>
        <w:t>previó</w:t>
      </w:r>
      <w:r>
        <w:rPr>
          <w:lang w:val="es-ES"/>
        </w:rPr>
        <w:t xml:space="preserve"> </w:t>
      </w:r>
      <w:r w:rsidR="00F3325C">
        <w:rPr>
          <w:lang w:val="es-ES"/>
        </w:rPr>
        <w:t>el</w:t>
      </w:r>
      <w:r>
        <w:rPr>
          <w:lang w:val="es-ES"/>
        </w:rPr>
        <w:t xml:space="preserve"> congresista federal</w:t>
      </w:r>
      <w:r w:rsidR="00F3325C">
        <w:rPr>
          <w:lang w:val="es-ES"/>
        </w:rPr>
        <w:t xml:space="preserve"> en 1823</w:t>
      </w:r>
      <w:r>
        <w:rPr>
          <w:lang w:val="es-ES"/>
        </w:rPr>
        <w:t xml:space="preserve">, </w:t>
      </w:r>
      <w:r w:rsidR="00F3325C">
        <w:rPr>
          <w:lang w:val="es-ES"/>
        </w:rPr>
        <w:t xml:space="preserve">y el </w:t>
      </w:r>
      <w:r>
        <w:rPr>
          <w:lang w:val="es-ES"/>
        </w:rPr>
        <w:t xml:space="preserve">aprendizaje </w:t>
      </w:r>
      <w:r w:rsidR="00DA3095">
        <w:rPr>
          <w:lang w:val="es-ES"/>
        </w:rPr>
        <w:t xml:space="preserve">que conllevó, </w:t>
      </w:r>
      <w:r>
        <w:rPr>
          <w:lang w:val="es-ES"/>
        </w:rPr>
        <w:t>amargaba</w:t>
      </w:r>
      <w:r w:rsidR="00F3325C">
        <w:rPr>
          <w:lang w:val="es-ES"/>
        </w:rPr>
        <w:t xml:space="preserve">, </w:t>
      </w:r>
      <w:r>
        <w:rPr>
          <w:lang w:val="es-ES"/>
        </w:rPr>
        <w:t>aliena</w:t>
      </w:r>
      <w:r w:rsidR="00F3325C">
        <w:rPr>
          <w:lang w:val="es-ES"/>
        </w:rPr>
        <w:t>b</w:t>
      </w:r>
      <w:r>
        <w:rPr>
          <w:lang w:val="es-ES"/>
        </w:rPr>
        <w:t>a</w:t>
      </w:r>
      <w:r w:rsidR="00F3325C">
        <w:rPr>
          <w:lang w:val="es-ES"/>
        </w:rPr>
        <w:t>,</w:t>
      </w:r>
      <w:r>
        <w:rPr>
          <w:lang w:val="es-ES"/>
        </w:rPr>
        <w:t xml:space="preserve"> </w:t>
      </w:r>
      <w:r w:rsidR="00F3325C">
        <w:rPr>
          <w:lang w:val="es-ES"/>
        </w:rPr>
        <w:t xml:space="preserve">o </w:t>
      </w:r>
      <w:r>
        <w:rPr>
          <w:lang w:val="es-ES"/>
        </w:rPr>
        <w:t xml:space="preserve">cansaba a los más aptos para </w:t>
      </w:r>
      <w:r w:rsidR="00F3325C">
        <w:rPr>
          <w:lang w:val="es-ES"/>
        </w:rPr>
        <w:t xml:space="preserve">votar y </w:t>
      </w:r>
      <w:r>
        <w:rPr>
          <w:lang w:val="es-ES"/>
        </w:rPr>
        <w:t xml:space="preserve">servir.  </w:t>
      </w:r>
      <w:r w:rsidR="00D85E1B">
        <w:rPr>
          <w:lang w:val="es-ES"/>
        </w:rPr>
        <w:t>Despreciaron la dificultad de implementar un sistema cuyas complejidades multiplicaron con el número de puestos a llenar en gobiernos republicanos y representativos</w:t>
      </w:r>
      <w:r w:rsidR="00D85E1B" w:rsidRPr="001C4D3B">
        <w:rPr>
          <w:lang w:val="es-ES"/>
        </w:rPr>
        <w:t xml:space="preserve">. </w:t>
      </w:r>
      <w:r w:rsidR="004716C5">
        <w:rPr>
          <w:lang w:val="es-ES"/>
        </w:rPr>
        <w:t>Además,</w:t>
      </w:r>
      <w:r w:rsidR="00691E3C">
        <w:rPr>
          <w:lang w:val="es-ES"/>
        </w:rPr>
        <w:t xml:space="preserve"> </w:t>
      </w:r>
      <w:r w:rsidR="00D85E1B">
        <w:rPr>
          <w:lang w:val="es-ES"/>
        </w:rPr>
        <w:t>no anticiparon que el uso frecuente d</w:t>
      </w:r>
      <w:r w:rsidR="00691E3C">
        <w:rPr>
          <w:lang w:val="es-ES"/>
        </w:rPr>
        <w:t xml:space="preserve">el sistema que otorgaba a las legislaturas un campo amplio para nombrar </w:t>
      </w:r>
      <w:r w:rsidR="00DA3095">
        <w:rPr>
          <w:lang w:val="es-ES"/>
        </w:rPr>
        <w:t xml:space="preserve">a </w:t>
      </w:r>
      <w:r w:rsidR="00691E3C">
        <w:rPr>
          <w:lang w:val="es-ES"/>
        </w:rPr>
        <w:t xml:space="preserve">las personas preferidas por los congresistas, sin insistir en respectar los resultados de </w:t>
      </w:r>
      <w:r w:rsidR="00D85E1B">
        <w:rPr>
          <w:lang w:val="es-ES"/>
        </w:rPr>
        <w:t xml:space="preserve">las </w:t>
      </w:r>
      <w:r w:rsidR="00691E3C">
        <w:rPr>
          <w:lang w:val="es-ES"/>
        </w:rPr>
        <w:t xml:space="preserve">elecciones, </w:t>
      </w:r>
      <w:r w:rsidR="00D85E1B">
        <w:rPr>
          <w:lang w:val="es-ES"/>
        </w:rPr>
        <w:t>daría</w:t>
      </w:r>
      <w:r w:rsidR="00F3325C">
        <w:rPr>
          <w:lang w:val="es-ES"/>
        </w:rPr>
        <w:t xml:space="preserve"> lugar a cuestionamientos de legitimidad que, en los peores de casos, animaron a insurrecciones.</w:t>
      </w:r>
      <w:r w:rsidR="00691E3C">
        <w:rPr>
          <w:lang w:val="es-ES"/>
        </w:rPr>
        <w:t xml:space="preserve"> </w:t>
      </w:r>
      <w:r>
        <w:rPr>
          <w:lang w:val="es-ES"/>
        </w:rPr>
        <w:t xml:space="preserve">Es decir, la novedad de hacer </w:t>
      </w:r>
      <w:r w:rsidR="003E5466" w:rsidRPr="001C4D3B">
        <w:rPr>
          <w:lang w:val="es-ES"/>
        </w:rPr>
        <w:t>electivas a las autoridades ejecutivas, legislativas y judiciales</w:t>
      </w:r>
      <w:r>
        <w:rPr>
          <w:lang w:val="es-ES"/>
        </w:rPr>
        <w:t xml:space="preserve"> </w:t>
      </w:r>
      <w:r w:rsidR="00D85E1B">
        <w:rPr>
          <w:lang w:val="es-ES"/>
        </w:rPr>
        <w:t xml:space="preserve">por procesos </w:t>
      </w:r>
      <w:r w:rsidR="005E2FEC">
        <w:rPr>
          <w:lang w:val="es-ES"/>
        </w:rPr>
        <w:t xml:space="preserve">no solamente </w:t>
      </w:r>
      <w:r w:rsidR="0030336A">
        <w:rPr>
          <w:lang w:val="es-ES"/>
        </w:rPr>
        <w:t>indirectos,</w:t>
      </w:r>
      <w:r w:rsidR="005E2FEC">
        <w:rPr>
          <w:lang w:val="es-ES"/>
        </w:rPr>
        <w:t xml:space="preserve"> pero </w:t>
      </w:r>
      <w:proofErr w:type="spellStart"/>
      <w:r w:rsidR="00D85E1B">
        <w:rPr>
          <w:lang w:val="es-ES"/>
        </w:rPr>
        <w:t>selectorales</w:t>
      </w:r>
      <w:proofErr w:type="spellEnd"/>
      <w:r w:rsidR="00D85E1B">
        <w:rPr>
          <w:lang w:val="es-ES"/>
        </w:rPr>
        <w:t xml:space="preserve"> </w:t>
      </w:r>
      <w:r>
        <w:rPr>
          <w:lang w:val="es-ES"/>
        </w:rPr>
        <w:t xml:space="preserve">tenía un costo alto que no se </w:t>
      </w:r>
      <w:r w:rsidR="00DA3095">
        <w:rPr>
          <w:lang w:val="es-ES"/>
        </w:rPr>
        <w:t xml:space="preserve">anticipó </w:t>
      </w:r>
      <w:r>
        <w:rPr>
          <w:lang w:val="es-ES"/>
        </w:rPr>
        <w:t>suficientemente.</w:t>
      </w:r>
    </w:p>
    <w:p w14:paraId="26B1F620" w14:textId="2E41CAE0" w:rsidR="003F4130" w:rsidRPr="001C4D3B" w:rsidRDefault="00116AEB" w:rsidP="001C4D3B">
      <w:pPr>
        <w:spacing w:line="360" w:lineRule="auto"/>
        <w:ind w:firstLine="284"/>
        <w:jc w:val="both"/>
        <w:rPr>
          <w:lang w:val="es-ES"/>
        </w:rPr>
      </w:pPr>
      <w:r>
        <w:rPr>
          <w:lang w:val="es-ES"/>
        </w:rPr>
        <w:t xml:space="preserve">O </w:t>
      </w:r>
      <w:proofErr w:type="gramStart"/>
      <w:r>
        <w:rPr>
          <w:lang w:val="es-ES"/>
        </w:rPr>
        <w:t>sea</w:t>
      </w:r>
      <w:proofErr w:type="gramEnd"/>
      <w:r>
        <w:rPr>
          <w:lang w:val="es-ES"/>
        </w:rPr>
        <w:t xml:space="preserve"> por alejamiento o conveniencia, j</w:t>
      </w:r>
      <w:r w:rsidR="007E4BA4" w:rsidRPr="003F4130">
        <w:rPr>
          <w:lang w:val="es-ES"/>
        </w:rPr>
        <w:t xml:space="preserve">unto a estas nuevas instituciones, los métodos tradicionales de expresión política continuaron </w:t>
      </w:r>
      <w:r w:rsidR="007E4BA4">
        <w:rPr>
          <w:lang w:val="es-ES"/>
        </w:rPr>
        <w:t>en vigencia, como</w:t>
      </w:r>
      <w:r w:rsidR="007E4BA4" w:rsidRPr="003F4130">
        <w:rPr>
          <w:lang w:val="es-ES"/>
        </w:rPr>
        <w:t xml:space="preserve"> peticiones dirigidas a legislaturas y ejecutivos</w:t>
      </w:r>
      <w:r w:rsidR="007E4BA4">
        <w:rPr>
          <w:lang w:val="es-ES"/>
        </w:rPr>
        <w:t xml:space="preserve"> y</w:t>
      </w:r>
      <w:r w:rsidR="007E4BA4" w:rsidRPr="003F4130">
        <w:rPr>
          <w:lang w:val="es-ES"/>
        </w:rPr>
        <w:t xml:space="preserve"> pronunciamientos de </w:t>
      </w:r>
      <w:r w:rsidR="007E4BA4">
        <w:rPr>
          <w:lang w:val="es-ES"/>
        </w:rPr>
        <w:t>consejos</w:t>
      </w:r>
      <w:r w:rsidR="007E4BA4" w:rsidRPr="003F4130">
        <w:rPr>
          <w:lang w:val="es-ES"/>
        </w:rPr>
        <w:t xml:space="preserve"> municipales</w:t>
      </w:r>
      <w:r w:rsidR="003F4130" w:rsidRPr="005C4630">
        <w:rPr>
          <w:color w:val="000000" w:themeColor="text1"/>
          <w:lang w:val="es-ES"/>
        </w:rPr>
        <w:t xml:space="preserve">. Lo que Romana Falcón </w:t>
      </w:r>
      <w:r w:rsidR="003957F7" w:rsidRPr="005C4630">
        <w:rPr>
          <w:color w:val="000000" w:themeColor="text1"/>
          <w:lang w:val="es-ES"/>
        </w:rPr>
        <w:t xml:space="preserve">ha </w:t>
      </w:r>
      <w:r w:rsidR="003F4130" w:rsidRPr="005C4630">
        <w:rPr>
          <w:color w:val="000000" w:themeColor="text1"/>
          <w:lang w:val="es-ES"/>
        </w:rPr>
        <w:lastRenderedPageBreak/>
        <w:t>llama</w:t>
      </w:r>
      <w:r w:rsidR="003957F7" w:rsidRPr="005C4630">
        <w:rPr>
          <w:color w:val="000000" w:themeColor="text1"/>
          <w:lang w:val="es-ES"/>
        </w:rPr>
        <w:t>do</w:t>
      </w:r>
      <w:r w:rsidR="003F4130" w:rsidRPr="005C4630">
        <w:rPr>
          <w:color w:val="000000" w:themeColor="text1"/>
          <w:lang w:val="es-ES"/>
        </w:rPr>
        <w:t xml:space="preserve"> el "arte de la petición" para </w:t>
      </w:r>
      <w:r w:rsidR="00DA3095">
        <w:rPr>
          <w:color w:val="000000" w:themeColor="text1"/>
          <w:lang w:val="es-ES"/>
        </w:rPr>
        <w:t xml:space="preserve">el </w:t>
      </w:r>
      <w:r w:rsidR="003F4130" w:rsidRPr="005C4630">
        <w:rPr>
          <w:color w:val="000000" w:themeColor="text1"/>
          <w:lang w:val="es-ES"/>
        </w:rPr>
        <w:t xml:space="preserve">México </w:t>
      </w:r>
      <w:r w:rsidR="001C2925" w:rsidRPr="005C4630">
        <w:rPr>
          <w:color w:val="000000" w:themeColor="text1"/>
          <w:lang w:val="es-ES"/>
        </w:rPr>
        <w:t>decimonónic</w:t>
      </w:r>
      <w:r w:rsidR="00DA3095">
        <w:rPr>
          <w:color w:val="000000" w:themeColor="text1"/>
          <w:lang w:val="es-ES"/>
        </w:rPr>
        <w:t>o</w:t>
      </w:r>
      <w:r w:rsidR="003957F7" w:rsidRPr="005C4630">
        <w:rPr>
          <w:color w:val="000000" w:themeColor="text1"/>
          <w:lang w:val="es-ES"/>
        </w:rPr>
        <w:t xml:space="preserve"> tuvo</w:t>
      </w:r>
      <w:r w:rsidR="003F4130" w:rsidRPr="005C4630">
        <w:rPr>
          <w:color w:val="000000" w:themeColor="text1"/>
          <w:lang w:val="es-ES"/>
        </w:rPr>
        <w:t xml:space="preserve"> raíces coloniales y se manifestó </w:t>
      </w:r>
      <w:r w:rsidR="003957F7" w:rsidRPr="005C4630">
        <w:rPr>
          <w:color w:val="000000" w:themeColor="text1"/>
          <w:lang w:val="es-ES"/>
        </w:rPr>
        <w:t xml:space="preserve">también </w:t>
      </w:r>
      <w:r w:rsidR="003F4130" w:rsidRPr="005C4630">
        <w:rPr>
          <w:color w:val="000000" w:themeColor="text1"/>
          <w:lang w:val="es-ES"/>
        </w:rPr>
        <w:t>en América Central después de la independencia. Tales expresiones colectivas de opinión</w:t>
      </w:r>
      <w:r w:rsidR="003F4130" w:rsidRPr="001C4D3B">
        <w:rPr>
          <w:lang w:val="es-ES"/>
        </w:rPr>
        <w:t xml:space="preserve"> política o protesta pueden ser el reflejo de múltiples formas de representación que probablemente contribuyeron</w:t>
      </w:r>
      <w:r w:rsidR="001C2925" w:rsidRPr="001C4D3B">
        <w:rPr>
          <w:lang w:val="es-ES"/>
        </w:rPr>
        <w:t>, y a veces obstaculizaron, a la construcción del estado-nación</w:t>
      </w:r>
      <w:r w:rsidR="003F4130" w:rsidRPr="001C4D3B">
        <w:rPr>
          <w:lang w:val="es-ES"/>
        </w:rPr>
        <w:t>. Podrían considerarse como una faceta de los primeros procesos centroamericanos de democratización, que han sido explorados productivamente por Avendaño</w:t>
      </w:r>
      <w:r w:rsidR="00EC03AE">
        <w:rPr>
          <w:lang w:val="es-ES"/>
        </w:rPr>
        <w:t xml:space="preserve"> Rojas</w:t>
      </w:r>
      <w:r w:rsidR="00423ACD" w:rsidRPr="001C4D3B">
        <w:rPr>
          <w:lang w:val="es-ES"/>
        </w:rPr>
        <w:t>, Obregón</w:t>
      </w:r>
      <w:r w:rsidR="003F4130" w:rsidRPr="001C4D3B">
        <w:rPr>
          <w:lang w:val="es-ES"/>
        </w:rPr>
        <w:t xml:space="preserve"> y </w:t>
      </w:r>
      <w:proofErr w:type="spellStart"/>
      <w:r w:rsidR="003F4130" w:rsidRPr="001C4D3B">
        <w:rPr>
          <w:lang w:val="es-ES"/>
        </w:rPr>
        <w:t>Alda</w:t>
      </w:r>
      <w:proofErr w:type="spellEnd"/>
      <w:r w:rsidR="003F4130" w:rsidRPr="001C4D3B">
        <w:rPr>
          <w:lang w:val="es-ES"/>
        </w:rPr>
        <w:t xml:space="preserve"> Mejías, entre otros, y merecen una mayor exploración teórica y de archivo.</w:t>
      </w:r>
    </w:p>
    <w:p w14:paraId="143C033E" w14:textId="195FAA52" w:rsidR="003957F7" w:rsidRDefault="003F4130" w:rsidP="001330E7">
      <w:pPr>
        <w:spacing w:line="360" w:lineRule="auto"/>
        <w:ind w:firstLine="284"/>
        <w:jc w:val="both"/>
        <w:rPr>
          <w:lang w:val="es-ES"/>
        </w:rPr>
      </w:pPr>
      <w:r w:rsidRPr="001C4D3B">
        <w:rPr>
          <w:lang w:val="es-ES"/>
        </w:rPr>
        <w:t xml:space="preserve">En general, </w:t>
      </w:r>
      <w:r w:rsidR="00423ACD" w:rsidRPr="001C4D3B">
        <w:rPr>
          <w:lang w:val="es-ES"/>
        </w:rPr>
        <w:t>l</w:t>
      </w:r>
      <w:r w:rsidR="007F7575">
        <w:rPr>
          <w:lang w:val="es-ES"/>
        </w:rPr>
        <w:t>as fuentes cuentan</w:t>
      </w:r>
      <w:r w:rsidRPr="001C4D3B">
        <w:rPr>
          <w:lang w:val="es-ES"/>
        </w:rPr>
        <w:t xml:space="preserve"> los esfuerzos concertados</w:t>
      </w:r>
      <w:r w:rsidRPr="00D61698">
        <w:rPr>
          <w:lang w:val="es-ES"/>
        </w:rPr>
        <w:t xml:space="preserve"> </w:t>
      </w:r>
      <w:r w:rsidR="007F7575" w:rsidRPr="00D61698">
        <w:rPr>
          <w:lang w:val="es-ES"/>
        </w:rPr>
        <w:t>en</w:t>
      </w:r>
      <w:r w:rsidR="00FF6CA3" w:rsidRPr="00D61698">
        <w:rPr>
          <w:lang w:val="es-ES"/>
        </w:rPr>
        <w:t xml:space="preserve"> desar</w:t>
      </w:r>
      <w:r w:rsidR="00D61698">
        <w:rPr>
          <w:lang w:val="es-ES"/>
        </w:rPr>
        <w:t>r</w:t>
      </w:r>
      <w:r w:rsidR="00FF6CA3" w:rsidRPr="00D61698">
        <w:rPr>
          <w:lang w:val="es-ES"/>
        </w:rPr>
        <w:t>ollar un sistema político que permit</w:t>
      </w:r>
      <w:r w:rsidR="00DA3095">
        <w:rPr>
          <w:lang w:val="es-ES"/>
        </w:rPr>
        <w:t>iera</w:t>
      </w:r>
      <w:r w:rsidR="00FF6CA3" w:rsidRPr="00D61698">
        <w:rPr>
          <w:lang w:val="es-ES"/>
        </w:rPr>
        <w:t xml:space="preserve"> ‘el </w:t>
      </w:r>
      <w:proofErr w:type="spellStart"/>
      <w:r w:rsidR="00FF6CA3" w:rsidRPr="00D61698">
        <w:rPr>
          <w:lang w:val="es-ES"/>
        </w:rPr>
        <w:t>goze</w:t>
      </w:r>
      <w:proofErr w:type="spellEnd"/>
      <w:r w:rsidR="00FF6CA3" w:rsidRPr="00D61698">
        <w:rPr>
          <w:lang w:val="es-ES"/>
        </w:rPr>
        <w:t xml:space="preserve"> </w:t>
      </w:r>
      <w:proofErr w:type="gramStart"/>
      <w:r w:rsidR="00FF6CA3" w:rsidRPr="00D61698">
        <w:rPr>
          <w:lang w:val="es-ES"/>
        </w:rPr>
        <w:t>del derechos</w:t>
      </w:r>
      <w:proofErr w:type="gramEnd"/>
      <w:r w:rsidR="00FF6CA3" w:rsidRPr="00D61698">
        <w:rPr>
          <w:lang w:val="es-ES"/>
        </w:rPr>
        <w:t xml:space="preserve">’ del ciudadano individual </w:t>
      </w:r>
      <w:r w:rsidR="007F7575" w:rsidRPr="00D61698">
        <w:rPr>
          <w:lang w:val="es-ES"/>
        </w:rPr>
        <w:t>y</w:t>
      </w:r>
      <w:r w:rsidR="00D61698">
        <w:rPr>
          <w:lang w:val="es-ES"/>
        </w:rPr>
        <w:t>,</w:t>
      </w:r>
      <w:r w:rsidR="007F7575" w:rsidRPr="00D61698">
        <w:rPr>
          <w:lang w:val="es-ES"/>
        </w:rPr>
        <w:t xml:space="preserve"> a la vez</w:t>
      </w:r>
      <w:r w:rsidR="00D61698">
        <w:rPr>
          <w:lang w:val="es-ES"/>
        </w:rPr>
        <w:t>,</w:t>
      </w:r>
      <w:r w:rsidR="00FF6CA3">
        <w:rPr>
          <w:b/>
          <w:lang w:val="es-ES"/>
        </w:rPr>
        <w:t xml:space="preserve"> </w:t>
      </w:r>
      <w:r w:rsidRPr="001C4D3B">
        <w:rPr>
          <w:lang w:val="es-ES"/>
        </w:rPr>
        <w:t xml:space="preserve">respetar una distribución tradicional del poder político, </w:t>
      </w:r>
      <w:r w:rsidR="00423ACD" w:rsidRPr="001C4D3B">
        <w:rPr>
          <w:lang w:val="es-ES"/>
        </w:rPr>
        <w:t>mantener</w:t>
      </w:r>
      <w:r w:rsidRPr="001C4D3B">
        <w:rPr>
          <w:lang w:val="es-ES"/>
        </w:rPr>
        <w:t xml:space="preserve"> a los </w:t>
      </w:r>
      <w:r w:rsidR="00423ACD" w:rsidRPr="001C4D3B">
        <w:rPr>
          <w:lang w:val="es-ES"/>
        </w:rPr>
        <w:t>ayuntamientos</w:t>
      </w:r>
      <w:r w:rsidRPr="001C4D3B">
        <w:rPr>
          <w:lang w:val="es-ES"/>
        </w:rPr>
        <w:t xml:space="preserve"> como organismos políticos y administrativos importantes y </w:t>
      </w:r>
      <w:r w:rsidR="00423ACD" w:rsidRPr="001C4D3B">
        <w:rPr>
          <w:lang w:val="es-ES"/>
        </w:rPr>
        <w:t>preservar</w:t>
      </w:r>
      <w:r w:rsidRPr="001C4D3B">
        <w:rPr>
          <w:lang w:val="es-ES"/>
        </w:rPr>
        <w:t xml:space="preserve"> el control del ejecutivo sobre el nombramiento de gobernadores departamentales. Algunos experimentos de la era federal no funcionaron, como crear un "cuerpo conservador" que parecía cruzar la forma y las funciones de un senado y un consejo de estado, o aplicar el complejo y lento sistema electoral de Cádiz a tres ramas separadas de gobierno. Ante tales fracasos, los estados centroamericanos </w:t>
      </w:r>
      <w:r w:rsidR="00423ACD" w:rsidRPr="001C4D3B">
        <w:rPr>
          <w:lang w:val="es-ES"/>
        </w:rPr>
        <w:t>a partir de mediados del s. XIX</w:t>
      </w:r>
      <w:r w:rsidRPr="001C4D3B">
        <w:rPr>
          <w:lang w:val="es-ES"/>
        </w:rPr>
        <w:t xml:space="preserve"> </w:t>
      </w:r>
      <w:r w:rsidR="00F3325C">
        <w:rPr>
          <w:lang w:val="es-ES"/>
        </w:rPr>
        <w:t>rechazaron el complejo sistema ‘</w:t>
      </w:r>
      <w:proofErr w:type="spellStart"/>
      <w:r w:rsidR="00F3325C">
        <w:rPr>
          <w:lang w:val="es-ES"/>
        </w:rPr>
        <w:t>selectoral</w:t>
      </w:r>
      <w:proofErr w:type="spellEnd"/>
      <w:r w:rsidR="00F3325C">
        <w:rPr>
          <w:lang w:val="es-ES"/>
        </w:rPr>
        <w:t xml:space="preserve">’ y </w:t>
      </w:r>
      <w:r w:rsidRPr="001C4D3B">
        <w:rPr>
          <w:lang w:val="es-ES"/>
        </w:rPr>
        <w:t xml:space="preserve">adoptaron </w:t>
      </w:r>
      <w:r w:rsidR="00423ACD" w:rsidRPr="001C4D3B">
        <w:rPr>
          <w:lang w:val="es-ES"/>
        </w:rPr>
        <w:t>una</w:t>
      </w:r>
      <w:r w:rsidRPr="001C4D3B">
        <w:rPr>
          <w:lang w:val="es-ES"/>
        </w:rPr>
        <w:t xml:space="preserve"> legislatura bicameral “estándar” y </w:t>
      </w:r>
      <w:r w:rsidR="00423ACD" w:rsidRPr="001C4D3B">
        <w:rPr>
          <w:lang w:val="es-ES"/>
        </w:rPr>
        <w:t>aumentaron el numero de puestos elegidos con</w:t>
      </w:r>
      <w:r w:rsidRPr="001C4D3B">
        <w:rPr>
          <w:lang w:val="es-ES"/>
        </w:rPr>
        <w:t xml:space="preserve"> elecciones populares directas. </w:t>
      </w:r>
      <w:r w:rsidR="00F3325C">
        <w:rPr>
          <w:lang w:val="es-ES"/>
        </w:rPr>
        <w:t xml:space="preserve"> Lo remarcable es que en lugar de reducir </w:t>
      </w:r>
      <w:r w:rsidR="00055A1E">
        <w:rPr>
          <w:lang w:val="es-ES"/>
        </w:rPr>
        <w:t xml:space="preserve">la responsabilidad ciudadana frente a las cámaras legislativas y los ejecutivos, la ampliaron.  </w:t>
      </w:r>
      <w:r w:rsidRPr="001C4D3B">
        <w:rPr>
          <w:lang w:val="es-ES"/>
        </w:rPr>
        <w:t xml:space="preserve">Al final, el legado democrático de esta era de revoluciones fue mixto. La adopción de instituciones representativas </w:t>
      </w:r>
      <w:r w:rsidR="00423ACD" w:rsidRPr="001C4D3B">
        <w:rPr>
          <w:lang w:val="es-ES"/>
        </w:rPr>
        <w:t>en</w:t>
      </w:r>
      <w:r w:rsidRPr="001C4D3B">
        <w:rPr>
          <w:lang w:val="es-ES"/>
        </w:rPr>
        <w:t xml:space="preserve"> Centroamérica </w:t>
      </w:r>
      <w:r w:rsidR="00055A1E">
        <w:rPr>
          <w:lang w:val="es-ES"/>
        </w:rPr>
        <w:t xml:space="preserve">independiente </w:t>
      </w:r>
      <w:r w:rsidRPr="001C4D3B">
        <w:rPr>
          <w:lang w:val="es-ES"/>
        </w:rPr>
        <w:t xml:space="preserve">fue un esfuerzo sincero que produjo elecciones relativamente libres a nivel local que mostraron interés y competencia popular, pero las prácticas coloniales junto con el abuso del cargo o las acciones extralegales a nivel estatal y federal mostraron </w:t>
      </w:r>
      <w:r w:rsidR="00423ACD" w:rsidRPr="001C4D3B">
        <w:rPr>
          <w:lang w:val="es-ES"/>
        </w:rPr>
        <w:t xml:space="preserve">tanto </w:t>
      </w:r>
      <w:r w:rsidRPr="001C4D3B">
        <w:rPr>
          <w:lang w:val="es-ES"/>
        </w:rPr>
        <w:t xml:space="preserve">las desventajas como beneficios de un sistema representativo. Estos procesos </w:t>
      </w:r>
      <w:r w:rsidR="00FF6CA3">
        <w:rPr>
          <w:lang w:val="es-ES"/>
        </w:rPr>
        <w:t xml:space="preserve">y contradicciones </w:t>
      </w:r>
      <w:r w:rsidR="00377108">
        <w:rPr>
          <w:lang w:val="es-ES"/>
        </w:rPr>
        <w:t xml:space="preserve">estructurales </w:t>
      </w:r>
      <w:r w:rsidR="00DA3095">
        <w:rPr>
          <w:lang w:val="es-ES"/>
        </w:rPr>
        <w:t xml:space="preserve">y </w:t>
      </w:r>
      <w:r w:rsidR="00377108">
        <w:rPr>
          <w:lang w:val="es-ES"/>
        </w:rPr>
        <w:t>orgánicas</w:t>
      </w:r>
      <w:r w:rsidRPr="001C4D3B">
        <w:rPr>
          <w:lang w:val="es-ES"/>
        </w:rPr>
        <w:t xml:space="preserve"> </w:t>
      </w:r>
      <w:r w:rsidR="00377108">
        <w:rPr>
          <w:lang w:val="es-ES"/>
        </w:rPr>
        <w:t>contribuyeron</w:t>
      </w:r>
      <w:r w:rsidRPr="001C4D3B">
        <w:rPr>
          <w:lang w:val="es-ES"/>
        </w:rPr>
        <w:t xml:space="preserve"> </w:t>
      </w:r>
      <w:r w:rsidR="00377108">
        <w:rPr>
          <w:lang w:val="es-ES"/>
        </w:rPr>
        <w:t>a</w:t>
      </w:r>
      <w:r w:rsidRPr="001C4D3B">
        <w:rPr>
          <w:lang w:val="es-ES"/>
        </w:rPr>
        <w:t xml:space="preserve"> los caminos problemáticos que siguieron.</w:t>
      </w:r>
    </w:p>
    <w:p w14:paraId="5D551E4A" w14:textId="77777777" w:rsidR="00055A1E" w:rsidRDefault="00055A1E" w:rsidP="00D61698">
      <w:pPr>
        <w:spacing w:line="360" w:lineRule="auto"/>
        <w:jc w:val="both"/>
        <w:rPr>
          <w:lang w:val="es-ES"/>
        </w:rPr>
      </w:pPr>
    </w:p>
    <w:p w14:paraId="2577E2A3" w14:textId="77777777" w:rsidR="003957F7" w:rsidRDefault="003957F7" w:rsidP="003957F7">
      <w:pPr>
        <w:spacing w:line="360" w:lineRule="auto"/>
        <w:jc w:val="both"/>
        <w:rPr>
          <w:lang w:val="es-ES"/>
        </w:rPr>
      </w:pPr>
      <w:r w:rsidRPr="00D3176C">
        <w:rPr>
          <w:lang w:val="es-ES"/>
        </w:rPr>
        <w:t>Bibliografía</w:t>
      </w:r>
    </w:p>
    <w:p w14:paraId="033E5452" w14:textId="77777777" w:rsidR="003957F7" w:rsidRDefault="003957F7" w:rsidP="003957F7">
      <w:pPr>
        <w:spacing w:line="360" w:lineRule="auto"/>
        <w:jc w:val="both"/>
        <w:rPr>
          <w:lang w:val="es-ES"/>
        </w:rPr>
      </w:pPr>
    </w:p>
    <w:p w14:paraId="09357DBF" w14:textId="77777777" w:rsidR="0073176A" w:rsidRDefault="0073176A" w:rsidP="0073176A">
      <w:pPr>
        <w:pStyle w:val="FootnoteText"/>
        <w:spacing w:line="360" w:lineRule="auto"/>
        <w:ind w:left="450" w:hanging="450"/>
        <w:jc w:val="both"/>
        <w:rPr>
          <w:sz w:val="22"/>
          <w:szCs w:val="22"/>
          <w:lang w:val="es-ES"/>
        </w:rPr>
      </w:pPr>
      <w:proofErr w:type="spellStart"/>
      <w:r w:rsidRPr="001C4D3B">
        <w:rPr>
          <w:sz w:val="22"/>
          <w:szCs w:val="22"/>
          <w:lang w:val="es-ES"/>
        </w:rPr>
        <w:t>Alda</w:t>
      </w:r>
      <w:proofErr w:type="spellEnd"/>
      <w:r w:rsidRPr="001C4D3B">
        <w:rPr>
          <w:sz w:val="22"/>
          <w:szCs w:val="22"/>
          <w:lang w:val="es-ES"/>
        </w:rPr>
        <w:t xml:space="preserve"> </w:t>
      </w:r>
      <w:proofErr w:type="spellStart"/>
      <w:r w:rsidRPr="001C4D3B">
        <w:rPr>
          <w:sz w:val="22"/>
          <w:szCs w:val="22"/>
          <w:lang w:val="es-ES"/>
        </w:rPr>
        <w:t>Mejias</w:t>
      </w:r>
      <w:proofErr w:type="spellEnd"/>
      <w:r w:rsidRPr="001C4D3B">
        <w:rPr>
          <w:sz w:val="22"/>
          <w:szCs w:val="22"/>
          <w:lang w:val="es-ES"/>
        </w:rPr>
        <w:t>,</w:t>
      </w:r>
      <w:r>
        <w:rPr>
          <w:sz w:val="22"/>
          <w:szCs w:val="22"/>
          <w:lang w:val="es-ES"/>
        </w:rPr>
        <w:t xml:space="preserve"> </w:t>
      </w:r>
      <w:r w:rsidRPr="001C4D3B">
        <w:rPr>
          <w:sz w:val="22"/>
          <w:szCs w:val="22"/>
          <w:lang w:val="es-ES"/>
        </w:rPr>
        <w:t>Sonia</w:t>
      </w:r>
      <w:r>
        <w:rPr>
          <w:sz w:val="22"/>
          <w:szCs w:val="22"/>
          <w:lang w:val="es-ES"/>
        </w:rPr>
        <w:t>,</w:t>
      </w:r>
      <w:r w:rsidRPr="001C4D3B">
        <w:rPr>
          <w:sz w:val="22"/>
          <w:szCs w:val="22"/>
          <w:lang w:val="es-ES"/>
        </w:rPr>
        <w:t xml:space="preserve"> </w:t>
      </w:r>
      <w:r>
        <w:rPr>
          <w:i/>
          <w:sz w:val="22"/>
          <w:szCs w:val="22"/>
          <w:lang w:val="es-ES"/>
        </w:rPr>
        <w:t>La p</w:t>
      </w:r>
      <w:r w:rsidRPr="001C4D3B">
        <w:rPr>
          <w:i/>
          <w:sz w:val="22"/>
          <w:szCs w:val="22"/>
          <w:lang w:val="es-ES"/>
        </w:rPr>
        <w:t>articipación indígena en la construcción de la Republica de Guatemala, S XIX</w:t>
      </w:r>
      <w:r>
        <w:rPr>
          <w:rStyle w:val="result-small1"/>
          <w:sz w:val="22"/>
          <w:szCs w:val="22"/>
          <w:lang w:val="es-ES"/>
        </w:rPr>
        <w:t xml:space="preserve">, </w:t>
      </w:r>
      <w:r w:rsidRPr="001C4D3B">
        <w:rPr>
          <w:rStyle w:val="result-small1"/>
          <w:sz w:val="22"/>
          <w:szCs w:val="22"/>
          <w:lang w:val="es-ES"/>
        </w:rPr>
        <w:t>Madrid</w:t>
      </w:r>
      <w:r>
        <w:rPr>
          <w:rStyle w:val="result-small1"/>
          <w:sz w:val="22"/>
          <w:szCs w:val="22"/>
          <w:lang w:val="es-ES"/>
        </w:rPr>
        <w:t>,</w:t>
      </w:r>
      <w:r w:rsidRPr="001C4D3B">
        <w:rPr>
          <w:rStyle w:val="result-small1"/>
          <w:sz w:val="22"/>
          <w:szCs w:val="22"/>
          <w:lang w:val="es-ES"/>
        </w:rPr>
        <w:t xml:space="preserve"> UAM Ediciones, 2002</w:t>
      </w:r>
      <w:r>
        <w:rPr>
          <w:rStyle w:val="result-small1"/>
          <w:sz w:val="22"/>
          <w:szCs w:val="22"/>
          <w:lang w:val="es-ES"/>
        </w:rPr>
        <w:t>.</w:t>
      </w:r>
      <w:r w:rsidRPr="001C4D3B">
        <w:rPr>
          <w:sz w:val="22"/>
          <w:szCs w:val="22"/>
          <w:lang w:val="es-ES"/>
        </w:rPr>
        <w:t xml:space="preserve"> </w:t>
      </w:r>
    </w:p>
    <w:p w14:paraId="6425C574" w14:textId="77777777" w:rsidR="00432DA6" w:rsidRPr="001C4D3B" w:rsidRDefault="00432DA6" w:rsidP="00DD4FC8">
      <w:pPr>
        <w:pStyle w:val="FootnoteText"/>
        <w:spacing w:line="360" w:lineRule="auto"/>
        <w:ind w:left="450" w:hanging="450"/>
        <w:jc w:val="both"/>
        <w:rPr>
          <w:sz w:val="22"/>
          <w:szCs w:val="22"/>
          <w:lang w:val="es-ES_tradnl"/>
        </w:rPr>
      </w:pPr>
      <w:proofErr w:type="spellStart"/>
      <w:r w:rsidRPr="001C4D3B">
        <w:rPr>
          <w:sz w:val="22"/>
          <w:szCs w:val="22"/>
          <w:lang w:val="es-ES"/>
        </w:rPr>
        <w:lastRenderedPageBreak/>
        <w:t>Alda</w:t>
      </w:r>
      <w:proofErr w:type="spellEnd"/>
      <w:r w:rsidRPr="001C4D3B">
        <w:rPr>
          <w:sz w:val="22"/>
          <w:szCs w:val="22"/>
          <w:lang w:val="es-ES"/>
        </w:rPr>
        <w:t xml:space="preserve"> </w:t>
      </w:r>
      <w:proofErr w:type="spellStart"/>
      <w:r w:rsidRPr="001C4D3B">
        <w:rPr>
          <w:sz w:val="22"/>
          <w:szCs w:val="22"/>
          <w:lang w:val="es-ES"/>
        </w:rPr>
        <w:t>Mejias</w:t>
      </w:r>
      <w:proofErr w:type="spellEnd"/>
      <w:r w:rsidRPr="001C4D3B">
        <w:rPr>
          <w:sz w:val="22"/>
          <w:szCs w:val="22"/>
          <w:lang w:val="es-ES"/>
        </w:rPr>
        <w:t>,</w:t>
      </w:r>
      <w:r>
        <w:rPr>
          <w:sz w:val="22"/>
          <w:szCs w:val="22"/>
          <w:lang w:val="es-ES"/>
        </w:rPr>
        <w:t xml:space="preserve"> </w:t>
      </w:r>
      <w:r w:rsidRPr="001C4D3B">
        <w:rPr>
          <w:sz w:val="22"/>
          <w:szCs w:val="22"/>
          <w:lang w:val="es-ES"/>
        </w:rPr>
        <w:t>Sonia</w:t>
      </w:r>
      <w:r>
        <w:rPr>
          <w:sz w:val="22"/>
          <w:szCs w:val="22"/>
          <w:lang w:val="es-ES"/>
        </w:rPr>
        <w:t>,</w:t>
      </w:r>
      <w:r w:rsidRPr="001C4D3B">
        <w:rPr>
          <w:sz w:val="22"/>
          <w:szCs w:val="22"/>
          <w:lang w:val="es-ES"/>
        </w:rPr>
        <w:t xml:space="preserve"> “El derecho de elección y de </w:t>
      </w:r>
      <w:r w:rsidR="005C4630" w:rsidRPr="001C4D3B">
        <w:rPr>
          <w:sz w:val="22"/>
          <w:szCs w:val="22"/>
          <w:lang w:val="es-ES"/>
        </w:rPr>
        <w:t>insurrección</w:t>
      </w:r>
      <w:r w:rsidRPr="001C4D3B">
        <w:rPr>
          <w:sz w:val="22"/>
          <w:szCs w:val="22"/>
          <w:lang w:val="es-ES"/>
        </w:rPr>
        <w:t xml:space="preserve"> en Centroamérica: Las revoluciones como medio de garantizar elecciones libres, 1838-1872”</w:t>
      </w:r>
      <w:r w:rsidR="00FE4DCC">
        <w:rPr>
          <w:sz w:val="22"/>
          <w:szCs w:val="22"/>
          <w:lang w:val="es-ES"/>
        </w:rPr>
        <w:t>,</w:t>
      </w:r>
      <w:r w:rsidRPr="001C4D3B">
        <w:rPr>
          <w:sz w:val="22"/>
          <w:szCs w:val="22"/>
          <w:lang w:val="es-ES"/>
        </w:rPr>
        <w:t xml:space="preserve"> Carlos </w:t>
      </w:r>
      <w:proofErr w:type="spellStart"/>
      <w:r w:rsidRPr="001C4D3B">
        <w:rPr>
          <w:sz w:val="22"/>
          <w:szCs w:val="22"/>
          <w:lang w:val="es-ES"/>
        </w:rPr>
        <w:t>Dardé</w:t>
      </w:r>
      <w:proofErr w:type="spellEnd"/>
      <w:r w:rsidRPr="001C4D3B">
        <w:rPr>
          <w:sz w:val="22"/>
          <w:szCs w:val="22"/>
          <w:lang w:val="es-ES"/>
        </w:rPr>
        <w:t xml:space="preserve"> Morales y Carlos </w:t>
      </w:r>
      <w:proofErr w:type="spellStart"/>
      <w:r w:rsidRPr="001C4D3B">
        <w:rPr>
          <w:sz w:val="22"/>
          <w:szCs w:val="22"/>
          <w:lang w:val="es-ES"/>
        </w:rPr>
        <w:t>Malamud</w:t>
      </w:r>
      <w:proofErr w:type="spellEnd"/>
      <w:r w:rsidRPr="001C4D3B">
        <w:rPr>
          <w:sz w:val="22"/>
          <w:szCs w:val="22"/>
          <w:lang w:val="es-ES"/>
        </w:rPr>
        <w:t xml:space="preserve"> </w:t>
      </w:r>
      <w:proofErr w:type="spellStart"/>
      <w:r w:rsidRPr="001C4D3B">
        <w:rPr>
          <w:sz w:val="22"/>
          <w:szCs w:val="22"/>
          <w:lang w:val="es-ES"/>
        </w:rPr>
        <w:t>Rikles</w:t>
      </w:r>
      <w:proofErr w:type="spellEnd"/>
      <w:r w:rsidRPr="001C4D3B">
        <w:rPr>
          <w:sz w:val="22"/>
          <w:szCs w:val="22"/>
          <w:lang w:val="es-ES"/>
        </w:rPr>
        <w:t xml:space="preserve"> </w:t>
      </w:r>
      <w:r w:rsidR="00FE4DCC">
        <w:rPr>
          <w:sz w:val="22"/>
          <w:szCs w:val="22"/>
          <w:lang w:val="es-ES"/>
        </w:rPr>
        <w:t>(eds.)</w:t>
      </w:r>
      <w:r w:rsidRPr="001C4D3B">
        <w:rPr>
          <w:sz w:val="22"/>
          <w:szCs w:val="22"/>
          <w:lang w:val="es-ES"/>
        </w:rPr>
        <w:t xml:space="preserve">, </w:t>
      </w:r>
      <w:r w:rsidRPr="001C4D3B">
        <w:rPr>
          <w:rStyle w:val="titulo"/>
          <w:i/>
          <w:sz w:val="22"/>
          <w:szCs w:val="22"/>
          <w:lang w:val="es-ES"/>
        </w:rPr>
        <w:t>Violencia y legitimidad política y revoluciones en España y América Latina, 1840-1910</w:t>
      </w:r>
      <w:r w:rsidR="00FE4DCC">
        <w:rPr>
          <w:rStyle w:val="titulo"/>
          <w:i/>
          <w:sz w:val="22"/>
          <w:szCs w:val="22"/>
          <w:lang w:val="es-ES"/>
        </w:rPr>
        <w:t xml:space="preserve">, </w:t>
      </w:r>
      <w:r w:rsidR="00FE4DCC">
        <w:rPr>
          <w:rStyle w:val="titulo"/>
          <w:sz w:val="22"/>
          <w:szCs w:val="22"/>
          <w:lang w:val="es-ES"/>
        </w:rPr>
        <w:t>Cantabria,</w:t>
      </w:r>
      <w:r w:rsidRPr="001C4D3B">
        <w:rPr>
          <w:rStyle w:val="titulo"/>
          <w:sz w:val="22"/>
          <w:szCs w:val="22"/>
          <w:lang w:val="es-ES"/>
        </w:rPr>
        <w:t xml:space="preserve"> Universidad de Cantabria, </w:t>
      </w:r>
      <w:r w:rsidRPr="001C4D3B">
        <w:rPr>
          <w:sz w:val="22"/>
          <w:szCs w:val="22"/>
          <w:lang w:val="es-ES"/>
        </w:rPr>
        <w:t>2004</w:t>
      </w:r>
      <w:r w:rsidR="00DD4FC8">
        <w:rPr>
          <w:sz w:val="22"/>
          <w:szCs w:val="22"/>
          <w:lang w:val="es-ES"/>
        </w:rPr>
        <w:t>a</w:t>
      </w:r>
      <w:r w:rsidR="00FE4DCC">
        <w:rPr>
          <w:sz w:val="22"/>
          <w:szCs w:val="22"/>
          <w:lang w:val="es-ES"/>
        </w:rPr>
        <w:t>:</w:t>
      </w:r>
      <w:r w:rsidRPr="001C4D3B">
        <w:rPr>
          <w:sz w:val="22"/>
          <w:szCs w:val="22"/>
          <w:lang w:val="es-ES"/>
        </w:rPr>
        <w:t xml:space="preserve">115-142. </w:t>
      </w:r>
    </w:p>
    <w:p w14:paraId="1814E566" w14:textId="77777777" w:rsidR="00432DA6" w:rsidRPr="001C4D3B" w:rsidRDefault="00432DA6" w:rsidP="00DD4FC8">
      <w:pPr>
        <w:spacing w:line="360" w:lineRule="auto"/>
        <w:ind w:left="450" w:hanging="450"/>
        <w:jc w:val="both"/>
        <w:rPr>
          <w:sz w:val="22"/>
          <w:szCs w:val="22"/>
          <w:lang w:val="es-ES_tradnl"/>
        </w:rPr>
      </w:pPr>
      <w:proofErr w:type="spellStart"/>
      <w:r w:rsidRPr="00AE7871">
        <w:rPr>
          <w:sz w:val="22"/>
          <w:szCs w:val="22"/>
          <w:lang w:val="es-ES_tradnl"/>
        </w:rPr>
        <w:t>Alda</w:t>
      </w:r>
      <w:proofErr w:type="spellEnd"/>
      <w:r w:rsidRPr="00AE7871">
        <w:rPr>
          <w:sz w:val="22"/>
          <w:szCs w:val="22"/>
          <w:lang w:val="es-ES_tradnl"/>
        </w:rPr>
        <w:t xml:space="preserve"> Mejías, Sonia, “</w:t>
      </w:r>
      <w:r w:rsidRPr="001C4D3B">
        <w:rPr>
          <w:sz w:val="22"/>
          <w:szCs w:val="22"/>
          <w:lang w:val="es-ES"/>
        </w:rPr>
        <w:t>La adaptación histórica de las comunidades indígenas en Guatemala: De cabildos coloniales a municipalidades constitucionales</w:t>
      </w:r>
      <w:r w:rsidR="00FE4DCC" w:rsidRPr="00AE7871">
        <w:rPr>
          <w:sz w:val="22"/>
          <w:szCs w:val="22"/>
          <w:lang w:val="es-ES_tradnl"/>
        </w:rPr>
        <w:t>”,</w:t>
      </w:r>
      <w:r w:rsidRPr="00AE7871">
        <w:rPr>
          <w:sz w:val="22"/>
          <w:szCs w:val="22"/>
          <w:lang w:val="es-ES_tradnl"/>
        </w:rPr>
        <w:t xml:space="preserve"> </w:t>
      </w:r>
      <w:proofErr w:type="spellStart"/>
      <w:r w:rsidR="00FE4DCC" w:rsidRPr="00AE7871">
        <w:rPr>
          <w:i/>
          <w:sz w:val="22"/>
          <w:szCs w:val="22"/>
          <w:lang w:val="es-ES_tradnl"/>
        </w:rPr>
        <w:t>Bicentenário</w:t>
      </w:r>
      <w:proofErr w:type="spellEnd"/>
      <w:r w:rsidRPr="00AE7871">
        <w:rPr>
          <w:i/>
          <w:sz w:val="22"/>
          <w:szCs w:val="22"/>
          <w:lang w:val="es-ES_tradnl"/>
        </w:rPr>
        <w:t xml:space="preserve">: revista de </w:t>
      </w:r>
      <w:proofErr w:type="spellStart"/>
      <w:r w:rsidR="00FE4DCC" w:rsidRPr="00AE7871">
        <w:rPr>
          <w:i/>
          <w:sz w:val="22"/>
          <w:szCs w:val="22"/>
          <w:lang w:val="es-ES_tradnl"/>
        </w:rPr>
        <w:t>história</w:t>
      </w:r>
      <w:proofErr w:type="spellEnd"/>
      <w:r w:rsidRPr="00AE7871">
        <w:rPr>
          <w:i/>
          <w:sz w:val="22"/>
          <w:szCs w:val="22"/>
          <w:lang w:val="es-ES_tradnl"/>
        </w:rPr>
        <w:t xml:space="preserve"> de Chile y América </w:t>
      </w:r>
      <w:r w:rsidR="00FE4DCC" w:rsidRPr="00AE7871">
        <w:rPr>
          <w:sz w:val="22"/>
          <w:szCs w:val="22"/>
          <w:lang w:val="es-ES_tradnl"/>
        </w:rPr>
        <w:t>III:</w:t>
      </w:r>
      <w:r w:rsidRPr="00AE7871">
        <w:rPr>
          <w:sz w:val="22"/>
          <w:szCs w:val="22"/>
          <w:lang w:val="es-ES_tradnl"/>
        </w:rPr>
        <w:t>2 (</w:t>
      </w:r>
      <w:r w:rsidR="00FE4DCC" w:rsidRPr="00AE7871">
        <w:rPr>
          <w:sz w:val="22"/>
          <w:szCs w:val="22"/>
          <w:lang w:val="es-ES_tradnl"/>
        </w:rPr>
        <w:t xml:space="preserve">Santiago, </w:t>
      </w:r>
      <w:r w:rsidRPr="00AE7871">
        <w:rPr>
          <w:sz w:val="22"/>
          <w:szCs w:val="22"/>
          <w:lang w:val="es-ES_tradnl"/>
        </w:rPr>
        <w:t>2004</w:t>
      </w:r>
      <w:r w:rsidR="00DD4FC8" w:rsidRPr="00AE7871">
        <w:rPr>
          <w:sz w:val="22"/>
          <w:szCs w:val="22"/>
          <w:lang w:val="es-ES_tradnl"/>
        </w:rPr>
        <w:t>b</w:t>
      </w:r>
      <w:r w:rsidRPr="00AE7871">
        <w:rPr>
          <w:sz w:val="22"/>
          <w:szCs w:val="22"/>
          <w:lang w:val="es-ES_tradnl"/>
        </w:rPr>
        <w:t>): 125-152.</w:t>
      </w:r>
    </w:p>
    <w:p w14:paraId="74B144AE" w14:textId="77777777" w:rsidR="005C4630" w:rsidRPr="00AE7871" w:rsidRDefault="001D682B" w:rsidP="00DD4FC8">
      <w:pPr>
        <w:autoSpaceDE w:val="0"/>
        <w:autoSpaceDN w:val="0"/>
        <w:adjustRightInd w:val="0"/>
        <w:spacing w:line="360" w:lineRule="auto"/>
        <w:ind w:left="450" w:hanging="450"/>
        <w:jc w:val="both"/>
        <w:rPr>
          <w:sz w:val="22"/>
          <w:szCs w:val="22"/>
          <w:lang w:val="es-ES_tradnl"/>
        </w:rPr>
      </w:pPr>
      <w:proofErr w:type="spellStart"/>
      <w:r w:rsidRPr="00AE7871">
        <w:rPr>
          <w:color w:val="000000" w:themeColor="text1"/>
          <w:sz w:val="22"/>
          <w:szCs w:val="22"/>
          <w:lang w:val="es-ES_tradnl"/>
        </w:rPr>
        <w:t>Alda</w:t>
      </w:r>
      <w:proofErr w:type="spellEnd"/>
      <w:r w:rsidRPr="00AE7871">
        <w:rPr>
          <w:color w:val="000000" w:themeColor="text1"/>
          <w:sz w:val="22"/>
          <w:szCs w:val="22"/>
          <w:lang w:val="es-ES_tradnl"/>
        </w:rPr>
        <w:t xml:space="preserve"> Mejías, Sonia y </w:t>
      </w:r>
      <w:proofErr w:type="spellStart"/>
      <w:r w:rsidRPr="00AE7871">
        <w:rPr>
          <w:color w:val="000000" w:themeColor="text1"/>
          <w:sz w:val="22"/>
          <w:szCs w:val="22"/>
          <w:lang w:val="es-ES_tradnl"/>
        </w:rPr>
        <w:t>Christophe</w:t>
      </w:r>
      <w:proofErr w:type="spellEnd"/>
      <w:r w:rsidRPr="00AE7871">
        <w:rPr>
          <w:color w:val="000000" w:themeColor="text1"/>
          <w:sz w:val="22"/>
          <w:szCs w:val="22"/>
          <w:lang w:val="es-ES_tradnl"/>
        </w:rPr>
        <w:t xml:space="preserve"> </w:t>
      </w:r>
      <w:proofErr w:type="spellStart"/>
      <w:r w:rsidRPr="00AE7871">
        <w:rPr>
          <w:color w:val="000000" w:themeColor="text1"/>
          <w:sz w:val="22"/>
          <w:szCs w:val="22"/>
          <w:lang w:val="es-ES_tradnl"/>
        </w:rPr>
        <w:t>Belaubre</w:t>
      </w:r>
      <w:proofErr w:type="spellEnd"/>
      <w:r w:rsidRPr="00AE7871">
        <w:rPr>
          <w:color w:val="000000" w:themeColor="text1"/>
          <w:sz w:val="22"/>
          <w:szCs w:val="22"/>
          <w:lang w:val="es-ES_tradnl"/>
        </w:rPr>
        <w:t xml:space="preserve">, “Partido/Facción”, en </w:t>
      </w:r>
      <w:proofErr w:type="gramStart"/>
      <w:r w:rsidRPr="00AE7871">
        <w:rPr>
          <w:color w:val="000000" w:themeColor="text1"/>
          <w:sz w:val="22"/>
          <w:szCs w:val="22"/>
          <w:lang w:val="es-ES_tradnl"/>
        </w:rPr>
        <w:t>Jordana</w:t>
      </w:r>
      <w:proofErr w:type="gramEnd"/>
      <w:r w:rsidRPr="00AE7871">
        <w:rPr>
          <w:color w:val="000000" w:themeColor="text1"/>
          <w:sz w:val="22"/>
          <w:szCs w:val="22"/>
          <w:lang w:val="es-ES_tradnl"/>
        </w:rPr>
        <w:t xml:space="preserve"> Dym y </w:t>
      </w:r>
      <w:proofErr w:type="spellStart"/>
      <w:r w:rsidRPr="00AE7871">
        <w:rPr>
          <w:color w:val="000000" w:themeColor="text1"/>
          <w:sz w:val="22"/>
          <w:szCs w:val="22"/>
          <w:lang w:val="es-ES_tradnl"/>
        </w:rPr>
        <w:t>Sajid</w:t>
      </w:r>
      <w:proofErr w:type="spellEnd"/>
      <w:r w:rsidRPr="00AE7871">
        <w:rPr>
          <w:color w:val="000000" w:themeColor="text1"/>
          <w:sz w:val="22"/>
          <w:szCs w:val="22"/>
          <w:lang w:val="es-ES_tradnl"/>
        </w:rPr>
        <w:t xml:space="preserve"> Herrera Mena, 2014, </w:t>
      </w:r>
      <w:proofErr w:type="spellStart"/>
      <w:r w:rsidR="00FE4DCC" w:rsidRPr="00AE7871">
        <w:rPr>
          <w:color w:val="000000" w:themeColor="text1"/>
          <w:sz w:val="22"/>
          <w:szCs w:val="22"/>
          <w:lang w:val="es-ES_tradnl"/>
        </w:rPr>
        <w:t>Annino</w:t>
      </w:r>
      <w:proofErr w:type="spellEnd"/>
      <w:r w:rsidR="000A546A" w:rsidRPr="00AE7871">
        <w:rPr>
          <w:color w:val="000000" w:themeColor="text1"/>
          <w:sz w:val="22"/>
          <w:szCs w:val="22"/>
          <w:lang w:val="es-ES_tradnl"/>
        </w:rPr>
        <w:t>, Antonio, “</w:t>
      </w:r>
      <w:proofErr w:type="spellStart"/>
      <w:r w:rsidR="000A546A" w:rsidRPr="00AE7871">
        <w:rPr>
          <w:color w:val="000000" w:themeColor="text1"/>
          <w:sz w:val="22"/>
          <w:szCs w:val="22"/>
          <w:lang w:val="es-ES_tradnl"/>
        </w:rPr>
        <w:t>The</w:t>
      </w:r>
      <w:proofErr w:type="spellEnd"/>
      <w:r w:rsidR="000A546A" w:rsidRPr="00AE7871">
        <w:rPr>
          <w:color w:val="000000" w:themeColor="text1"/>
          <w:sz w:val="22"/>
          <w:szCs w:val="22"/>
          <w:lang w:val="es-ES_tradnl"/>
        </w:rPr>
        <w:t xml:space="preserve"> </w:t>
      </w:r>
      <w:proofErr w:type="spellStart"/>
      <w:r w:rsidR="000A546A" w:rsidRPr="00AE7871">
        <w:rPr>
          <w:color w:val="000000" w:themeColor="text1"/>
          <w:sz w:val="22"/>
          <w:szCs w:val="22"/>
          <w:lang w:val="es-ES_tradnl"/>
        </w:rPr>
        <w:t>Ballot</w:t>
      </w:r>
      <w:proofErr w:type="spellEnd"/>
      <w:r w:rsidR="000A546A" w:rsidRPr="00AE7871">
        <w:rPr>
          <w:color w:val="000000" w:themeColor="text1"/>
          <w:sz w:val="22"/>
          <w:szCs w:val="22"/>
          <w:lang w:val="es-ES_tradnl"/>
        </w:rPr>
        <w:t xml:space="preserve">, </w:t>
      </w:r>
      <w:proofErr w:type="spellStart"/>
      <w:r w:rsidR="000A546A" w:rsidRPr="00AE7871">
        <w:rPr>
          <w:color w:val="000000" w:themeColor="text1"/>
          <w:sz w:val="22"/>
          <w:szCs w:val="22"/>
          <w:lang w:val="es-ES_tradnl"/>
        </w:rPr>
        <w:t>Land</w:t>
      </w:r>
      <w:proofErr w:type="spellEnd"/>
      <w:r w:rsidR="000A546A" w:rsidRPr="00AE7871">
        <w:rPr>
          <w:color w:val="000000" w:themeColor="text1"/>
          <w:sz w:val="22"/>
          <w:szCs w:val="22"/>
          <w:lang w:val="es-ES_tradnl"/>
        </w:rPr>
        <w:t xml:space="preserve"> and </w:t>
      </w:r>
      <w:proofErr w:type="spellStart"/>
      <w:r w:rsidR="000A546A" w:rsidRPr="00AE7871">
        <w:rPr>
          <w:color w:val="000000" w:themeColor="text1"/>
          <w:sz w:val="22"/>
          <w:szCs w:val="22"/>
          <w:lang w:val="es-ES_tradnl"/>
        </w:rPr>
        <w:t>Sovereignty</w:t>
      </w:r>
      <w:proofErr w:type="spellEnd"/>
      <w:r w:rsidR="000A546A" w:rsidRPr="00AE7871">
        <w:rPr>
          <w:color w:val="000000" w:themeColor="text1"/>
          <w:sz w:val="22"/>
          <w:szCs w:val="22"/>
          <w:lang w:val="es-ES_tradnl"/>
        </w:rPr>
        <w:t xml:space="preserve">: Cádiz and </w:t>
      </w:r>
      <w:proofErr w:type="spellStart"/>
      <w:r w:rsidR="000A546A" w:rsidRPr="00AE7871">
        <w:rPr>
          <w:color w:val="000000" w:themeColor="text1"/>
          <w:sz w:val="22"/>
          <w:szCs w:val="22"/>
          <w:lang w:val="es-ES_tradnl"/>
        </w:rPr>
        <w:t>the</w:t>
      </w:r>
      <w:proofErr w:type="spellEnd"/>
      <w:r w:rsidR="000A546A" w:rsidRPr="00AE7871">
        <w:rPr>
          <w:color w:val="000000" w:themeColor="text1"/>
          <w:sz w:val="22"/>
          <w:szCs w:val="22"/>
          <w:lang w:val="es-ES_tradnl"/>
        </w:rPr>
        <w:t xml:space="preserve"> </w:t>
      </w:r>
      <w:proofErr w:type="spellStart"/>
      <w:r w:rsidR="000A546A" w:rsidRPr="00AE7871">
        <w:rPr>
          <w:color w:val="000000" w:themeColor="text1"/>
          <w:sz w:val="22"/>
          <w:szCs w:val="22"/>
          <w:lang w:val="es-ES_tradnl"/>
        </w:rPr>
        <w:t>Origins</w:t>
      </w:r>
      <w:proofErr w:type="spellEnd"/>
      <w:r w:rsidR="000A546A" w:rsidRPr="00AE7871">
        <w:rPr>
          <w:color w:val="000000" w:themeColor="text1"/>
          <w:sz w:val="22"/>
          <w:szCs w:val="22"/>
          <w:lang w:val="es-ES_tradnl"/>
        </w:rPr>
        <w:t xml:space="preserve"> of </w:t>
      </w:r>
      <w:proofErr w:type="spellStart"/>
      <w:r w:rsidR="000A546A" w:rsidRPr="00AE7871">
        <w:rPr>
          <w:color w:val="000000" w:themeColor="text1"/>
          <w:sz w:val="22"/>
          <w:szCs w:val="22"/>
          <w:lang w:val="es-ES_tradnl"/>
        </w:rPr>
        <w:t>Mexican</w:t>
      </w:r>
      <w:proofErr w:type="spellEnd"/>
      <w:r w:rsidR="000A546A" w:rsidRPr="00AE7871">
        <w:rPr>
          <w:color w:val="000000" w:themeColor="text1"/>
          <w:sz w:val="22"/>
          <w:szCs w:val="22"/>
          <w:lang w:val="es-ES_tradnl"/>
        </w:rPr>
        <w:t xml:space="preserve"> Local</w:t>
      </w:r>
      <w:r w:rsidR="000A546A" w:rsidRPr="00AE7871">
        <w:rPr>
          <w:sz w:val="22"/>
          <w:szCs w:val="22"/>
          <w:lang w:val="es-ES_tradnl"/>
        </w:rPr>
        <w:t xml:space="preserve"> </w:t>
      </w:r>
      <w:proofErr w:type="spellStart"/>
      <w:r w:rsidR="000A546A" w:rsidRPr="00AE7871">
        <w:rPr>
          <w:sz w:val="22"/>
          <w:szCs w:val="22"/>
          <w:lang w:val="es-ES_tradnl"/>
        </w:rPr>
        <w:t>Government</w:t>
      </w:r>
      <w:proofErr w:type="spellEnd"/>
      <w:r w:rsidR="000A546A" w:rsidRPr="00AE7871">
        <w:rPr>
          <w:sz w:val="22"/>
          <w:szCs w:val="22"/>
          <w:lang w:val="es-ES_tradnl"/>
        </w:rPr>
        <w:t>, 1812-1820</w:t>
      </w:r>
      <w:r w:rsidR="00FE4DCC" w:rsidRPr="00AE7871">
        <w:rPr>
          <w:sz w:val="22"/>
          <w:szCs w:val="22"/>
          <w:lang w:val="es-ES_tradnl"/>
        </w:rPr>
        <w:t>”,</w:t>
      </w:r>
      <w:r w:rsidR="000A546A" w:rsidRPr="00AE7871">
        <w:rPr>
          <w:sz w:val="22"/>
          <w:szCs w:val="22"/>
          <w:lang w:val="es-ES_tradnl"/>
        </w:rPr>
        <w:t xml:space="preserve"> in Posada-</w:t>
      </w:r>
      <w:proofErr w:type="spellStart"/>
      <w:r w:rsidR="000A546A" w:rsidRPr="00AE7871">
        <w:rPr>
          <w:sz w:val="22"/>
          <w:szCs w:val="22"/>
          <w:lang w:val="es-ES_tradnl"/>
        </w:rPr>
        <w:t>Carbó</w:t>
      </w:r>
      <w:proofErr w:type="spellEnd"/>
      <w:r w:rsidR="000A546A" w:rsidRPr="00AE7871">
        <w:rPr>
          <w:sz w:val="22"/>
          <w:szCs w:val="22"/>
          <w:lang w:val="es-ES_tradnl"/>
        </w:rPr>
        <w:t xml:space="preserve"> </w:t>
      </w:r>
      <w:r w:rsidR="0073176A" w:rsidRPr="00AE7871">
        <w:rPr>
          <w:sz w:val="22"/>
          <w:szCs w:val="22"/>
          <w:lang w:val="es-ES_tradnl"/>
        </w:rPr>
        <w:t>(</w:t>
      </w:r>
      <w:r w:rsidR="000A546A" w:rsidRPr="00AE7871">
        <w:rPr>
          <w:sz w:val="22"/>
          <w:szCs w:val="22"/>
          <w:lang w:val="es-ES_tradnl"/>
        </w:rPr>
        <w:t>ed</w:t>
      </w:r>
      <w:r w:rsidR="0073176A" w:rsidRPr="00AE7871">
        <w:rPr>
          <w:sz w:val="22"/>
          <w:szCs w:val="22"/>
          <w:lang w:val="es-ES_tradnl"/>
        </w:rPr>
        <w:t>.)</w:t>
      </w:r>
      <w:r w:rsidR="000A546A" w:rsidRPr="00AE7871">
        <w:rPr>
          <w:sz w:val="22"/>
          <w:szCs w:val="22"/>
          <w:lang w:val="es-ES_tradnl"/>
        </w:rPr>
        <w:t>, 1996: 61-85.</w:t>
      </w:r>
    </w:p>
    <w:p w14:paraId="4FA4C41E" w14:textId="77777777" w:rsidR="00432DA6" w:rsidRPr="002E1A0F" w:rsidRDefault="00432DA6" w:rsidP="00DD4FC8">
      <w:pPr>
        <w:autoSpaceDE w:val="0"/>
        <w:autoSpaceDN w:val="0"/>
        <w:adjustRightInd w:val="0"/>
        <w:spacing w:line="360" w:lineRule="auto"/>
        <w:ind w:left="450" w:hanging="450"/>
        <w:jc w:val="both"/>
        <w:rPr>
          <w:color w:val="211D1E"/>
          <w:sz w:val="22"/>
          <w:szCs w:val="22"/>
          <w:lang w:val="es-ES"/>
        </w:rPr>
      </w:pPr>
      <w:proofErr w:type="spellStart"/>
      <w:r w:rsidRPr="002E1A0F">
        <w:rPr>
          <w:sz w:val="22"/>
          <w:szCs w:val="22"/>
          <w:lang w:val="es-ES"/>
        </w:rPr>
        <w:t>Annino</w:t>
      </w:r>
      <w:proofErr w:type="spellEnd"/>
      <w:r w:rsidRPr="002E1A0F">
        <w:rPr>
          <w:sz w:val="22"/>
          <w:szCs w:val="22"/>
          <w:lang w:val="es-ES"/>
        </w:rPr>
        <w:t>,</w:t>
      </w:r>
      <w:r>
        <w:rPr>
          <w:sz w:val="22"/>
          <w:szCs w:val="22"/>
          <w:lang w:val="es-ES"/>
        </w:rPr>
        <w:t xml:space="preserve"> </w:t>
      </w:r>
      <w:r w:rsidRPr="002E1A0F">
        <w:rPr>
          <w:sz w:val="22"/>
          <w:szCs w:val="22"/>
          <w:lang w:val="es-ES"/>
        </w:rPr>
        <w:t>Antonio</w:t>
      </w:r>
      <w:r>
        <w:rPr>
          <w:sz w:val="22"/>
          <w:szCs w:val="22"/>
          <w:lang w:val="es-ES"/>
        </w:rPr>
        <w:t>,</w:t>
      </w:r>
      <w:r w:rsidRPr="002E1A0F">
        <w:rPr>
          <w:sz w:val="22"/>
          <w:szCs w:val="22"/>
          <w:lang w:val="es-ES"/>
        </w:rPr>
        <w:t xml:space="preserve"> “Soberanías en lucha”, en A</w:t>
      </w:r>
      <w:r w:rsidR="000A546A">
        <w:rPr>
          <w:sz w:val="22"/>
          <w:szCs w:val="22"/>
          <w:lang w:val="es-ES"/>
        </w:rPr>
        <w:t>ntonio</w:t>
      </w:r>
      <w:r w:rsidRPr="002E1A0F">
        <w:rPr>
          <w:sz w:val="22"/>
          <w:szCs w:val="22"/>
          <w:lang w:val="es-ES"/>
        </w:rPr>
        <w:t xml:space="preserve"> </w:t>
      </w:r>
      <w:proofErr w:type="spellStart"/>
      <w:r w:rsidRPr="002E1A0F">
        <w:rPr>
          <w:sz w:val="22"/>
          <w:szCs w:val="22"/>
          <w:lang w:val="es-ES"/>
        </w:rPr>
        <w:t>Annino</w:t>
      </w:r>
      <w:proofErr w:type="spellEnd"/>
      <w:r w:rsidRPr="002E1A0F">
        <w:rPr>
          <w:sz w:val="22"/>
          <w:szCs w:val="22"/>
          <w:lang w:val="es-ES"/>
        </w:rPr>
        <w:t xml:space="preserve"> y F</w:t>
      </w:r>
      <w:r w:rsidR="000A546A">
        <w:rPr>
          <w:sz w:val="22"/>
          <w:szCs w:val="22"/>
          <w:lang w:val="es-ES"/>
        </w:rPr>
        <w:t>rançois</w:t>
      </w:r>
      <w:r w:rsidRPr="002E1A0F">
        <w:rPr>
          <w:sz w:val="22"/>
          <w:szCs w:val="22"/>
          <w:lang w:val="es-ES"/>
        </w:rPr>
        <w:t>-X</w:t>
      </w:r>
      <w:r w:rsidR="000A546A">
        <w:rPr>
          <w:sz w:val="22"/>
          <w:szCs w:val="22"/>
          <w:lang w:val="es-ES"/>
        </w:rPr>
        <w:t>avier</w:t>
      </w:r>
      <w:r w:rsidRPr="002E1A0F">
        <w:rPr>
          <w:sz w:val="22"/>
          <w:szCs w:val="22"/>
          <w:lang w:val="es-ES"/>
        </w:rPr>
        <w:t xml:space="preserve"> Guerra (</w:t>
      </w:r>
      <w:r w:rsidR="0073176A">
        <w:rPr>
          <w:sz w:val="22"/>
          <w:szCs w:val="22"/>
          <w:lang w:val="es-ES"/>
        </w:rPr>
        <w:t>eds.</w:t>
      </w:r>
      <w:r w:rsidRPr="002E1A0F">
        <w:rPr>
          <w:sz w:val="22"/>
          <w:szCs w:val="22"/>
          <w:lang w:val="es-ES"/>
        </w:rPr>
        <w:t xml:space="preserve">), </w:t>
      </w:r>
      <w:r w:rsidRPr="002E1A0F">
        <w:rPr>
          <w:i/>
          <w:sz w:val="22"/>
          <w:szCs w:val="22"/>
          <w:lang w:val="es-ES"/>
        </w:rPr>
        <w:t>Inventando la nación</w:t>
      </w:r>
      <w:r w:rsidR="0073176A">
        <w:rPr>
          <w:sz w:val="22"/>
          <w:szCs w:val="22"/>
          <w:lang w:val="es-ES"/>
        </w:rPr>
        <w:t xml:space="preserve">, </w:t>
      </w:r>
      <w:r w:rsidRPr="002E1A0F">
        <w:rPr>
          <w:sz w:val="22"/>
          <w:szCs w:val="22"/>
          <w:lang w:val="es-ES"/>
        </w:rPr>
        <w:t>México, FCE, 2003.</w:t>
      </w:r>
    </w:p>
    <w:p w14:paraId="7F0484F1"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Avendaño</w:t>
      </w:r>
      <w:r w:rsidR="00D323CE">
        <w:rPr>
          <w:sz w:val="22"/>
          <w:szCs w:val="22"/>
          <w:lang w:val="es-ES"/>
        </w:rPr>
        <w:t xml:space="preserve"> Rojas</w:t>
      </w:r>
      <w:r w:rsidRPr="001C4D3B">
        <w:rPr>
          <w:sz w:val="22"/>
          <w:szCs w:val="22"/>
          <w:lang w:val="es-ES"/>
        </w:rPr>
        <w:t>,</w:t>
      </w:r>
      <w:r>
        <w:rPr>
          <w:sz w:val="22"/>
          <w:szCs w:val="22"/>
          <w:lang w:val="es-ES"/>
        </w:rPr>
        <w:t xml:space="preserve"> </w:t>
      </w:r>
      <w:r w:rsidRPr="001C4D3B">
        <w:rPr>
          <w:sz w:val="22"/>
          <w:szCs w:val="22"/>
          <w:lang w:val="es-ES"/>
        </w:rPr>
        <w:t>Xiomara</w:t>
      </w:r>
      <w:r>
        <w:rPr>
          <w:sz w:val="22"/>
          <w:szCs w:val="22"/>
          <w:lang w:val="es-ES"/>
        </w:rPr>
        <w:t>,</w:t>
      </w:r>
      <w:r w:rsidRPr="001C4D3B">
        <w:rPr>
          <w:sz w:val="22"/>
          <w:szCs w:val="22"/>
          <w:lang w:val="es-ES"/>
        </w:rPr>
        <w:t xml:space="preserve"> “De súbditos a ciudadanos: Las primeras elecciones en la provincia de Guatemala, 1812–1822</w:t>
      </w:r>
      <w:r w:rsidR="00FE4DCC">
        <w:rPr>
          <w:sz w:val="22"/>
          <w:szCs w:val="22"/>
          <w:lang w:val="es-ES"/>
        </w:rPr>
        <w:t>”,</w:t>
      </w:r>
      <w:r w:rsidRPr="001C4D3B">
        <w:rPr>
          <w:sz w:val="22"/>
          <w:szCs w:val="22"/>
          <w:lang w:val="es-ES"/>
        </w:rPr>
        <w:t xml:space="preserve"> </w:t>
      </w:r>
      <w:r w:rsidRPr="001C4D3B">
        <w:rPr>
          <w:i/>
          <w:sz w:val="22"/>
          <w:szCs w:val="22"/>
          <w:lang w:val="es-ES"/>
        </w:rPr>
        <w:t>Revista de Historia</w:t>
      </w:r>
      <w:r w:rsidR="0073176A">
        <w:rPr>
          <w:i/>
          <w:sz w:val="22"/>
          <w:szCs w:val="22"/>
          <w:lang w:val="es-ES"/>
        </w:rPr>
        <w:t xml:space="preserve"> </w:t>
      </w:r>
      <w:r w:rsidR="0073176A">
        <w:rPr>
          <w:sz w:val="22"/>
          <w:szCs w:val="22"/>
          <w:lang w:val="es-ES"/>
        </w:rPr>
        <w:t>3-4</w:t>
      </w:r>
      <w:r w:rsidRPr="001C4D3B">
        <w:rPr>
          <w:sz w:val="22"/>
          <w:szCs w:val="22"/>
          <w:lang w:val="es-ES"/>
        </w:rPr>
        <w:t xml:space="preserve"> (Managua, N</w:t>
      </w:r>
      <w:r>
        <w:rPr>
          <w:sz w:val="22"/>
          <w:szCs w:val="22"/>
          <w:lang w:val="es-ES"/>
        </w:rPr>
        <w:t>icaragua</w:t>
      </w:r>
      <w:r w:rsidR="0073176A">
        <w:rPr>
          <w:sz w:val="22"/>
          <w:szCs w:val="22"/>
          <w:lang w:val="es-ES"/>
        </w:rPr>
        <w:t xml:space="preserve">, </w:t>
      </w:r>
      <w:r>
        <w:rPr>
          <w:sz w:val="22"/>
          <w:szCs w:val="22"/>
          <w:lang w:val="es-ES"/>
        </w:rPr>
        <w:t>1994): 44–54</w:t>
      </w:r>
      <w:r w:rsidR="00D01FD5">
        <w:rPr>
          <w:sz w:val="22"/>
          <w:szCs w:val="22"/>
          <w:lang w:val="es-ES"/>
        </w:rPr>
        <w:t>.</w:t>
      </w:r>
    </w:p>
    <w:p w14:paraId="6B6D0DC8"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Avendaño</w:t>
      </w:r>
      <w:r w:rsidR="00D323CE">
        <w:rPr>
          <w:sz w:val="22"/>
          <w:szCs w:val="22"/>
          <w:lang w:val="es-ES"/>
        </w:rPr>
        <w:t xml:space="preserve"> Rojas</w:t>
      </w:r>
      <w:r w:rsidRPr="001C4D3B">
        <w:rPr>
          <w:sz w:val="22"/>
          <w:szCs w:val="22"/>
          <w:lang w:val="es-ES"/>
        </w:rPr>
        <w:t>,</w:t>
      </w:r>
      <w:r>
        <w:rPr>
          <w:sz w:val="22"/>
          <w:szCs w:val="22"/>
          <w:lang w:val="es-ES"/>
        </w:rPr>
        <w:t xml:space="preserve"> </w:t>
      </w:r>
      <w:r w:rsidRPr="001C4D3B">
        <w:rPr>
          <w:sz w:val="22"/>
          <w:szCs w:val="22"/>
          <w:lang w:val="es-ES"/>
        </w:rPr>
        <w:t>Xiomara</w:t>
      </w:r>
      <w:r>
        <w:rPr>
          <w:sz w:val="22"/>
          <w:szCs w:val="22"/>
          <w:lang w:val="es-ES"/>
        </w:rPr>
        <w:t>,</w:t>
      </w:r>
      <w:r w:rsidRPr="001C4D3B">
        <w:rPr>
          <w:sz w:val="22"/>
          <w:szCs w:val="22"/>
          <w:lang w:val="es-ES"/>
        </w:rPr>
        <w:t xml:space="preserve"> “Las características de la ciudadanía en Centroamérica durante el siglo XIX: Estudio de los distritos electorales de Quezaltenango y Granada</w:t>
      </w:r>
      <w:r w:rsidR="00FE4DCC">
        <w:rPr>
          <w:sz w:val="22"/>
          <w:szCs w:val="22"/>
          <w:lang w:val="es-ES"/>
        </w:rPr>
        <w:t>”,</w:t>
      </w:r>
      <w:r w:rsidRPr="001C4D3B">
        <w:rPr>
          <w:sz w:val="22"/>
          <w:szCs w:val="22"/>
          <w:lang w:val="es-ES"/>
        </w:rPr>
        <w:t xml:space="preserve"> </w:t>
      </w:r>
      <w:r w:rsidRPr="001C4D3B">
        <w:rPr>
          <w:i/>
          <w:sz w:val="22"/>
          <w:szCs w:val="22"/>
          <w:lang w:val="es-ES"/>
        </w:rPr>
        <w:t>Revista de Historia</w:t>
      </w:r>
      <w:r w:rsidR="00D01FD5">
        <w:rPr>
          <w:i/>
          <w:sz w:val="22"/>
          <w:szCs w:val="22"/>
          <w:lang w:val="es-ES"/>
        </w:rPr>
        <w:t>,</w:t>
      </w:r>
      <w:r>
        <w:rPr>
          <w:sz w:val="22"/>
          <w:szCs w:val="22"/>
          <w:lang w:val="es-ES"/>
        </w:rPr>
        <w:t xml:space="preserve"> </w:t>
      </w:r>
      <w:r w:rsidR="00D01FD5">
        <w:rPr>
          <w:sz w:val="22"/>
          <w:szCs w:val="22"/>
          <w:lang w:val="es-ES"/>
        </w:rPr>
        <w:t xml:space="preserve">5–6  </w:t>
      </w:r>
      <w:r>
        <w:rPr>
          <w:sz w:val="22"/>
          <w:szCs w:val="22"/>
          <w:lang w:val="es-ES"/>
        </w:rPr>
        <w:t>(</w:t>
      </w:r>
      <w:r w:rsidR="00D01FD5">
        <w:rPr>
          <w:sz w:val="22"/>
          <w:szCs w:val="22"/>
          <w:lang w:val="es-ES"/>
        </w:rPr>
        <w:t xml:space="preserve">San José, </w:t>
      </w:r>
      <w:r>
        <w:rPr>
          <w:sz w:val="22"/>
          <w:szCs w:val="22"/>
          <w:lang w:val="es-ES"/>
        </w:rPr>
        <w:t>Costa Rica</w:t>
      </w:r>
      <w:r w:rsidR="00D01FD5">
        <w:rPr>
          <w:sz w:val="22"/>
          <w:szCs w:val="22"/>
          <w:lang w:val="es-ES"/>
        </w:rPr>
        <w:t>, 1995</w:t>
      </w:r>
      <w:r>
        <w:rPr>
          <w:sz w:val="22"/>
          <w:szCs w:val="22"/>
          <w:lang w:val="es-ES"/>
        </w:rPr>
        <w:t>): 20–29</w:t>
      </w:r>
      <w:r w:rsidR="00D01FD5">
        <w:rPr>
          <w:sz w:val="22"/>
          <w:szCs w:val="22"/>
          <w:lang w:val="es-ES"/>
        </w:rPr>
        <w:t>.</w:t>
      </w:r>
    </w:p>
    <w:p w14:paraId="51B691CA" w14:textId="77777777" w:rsidR="00432DA6" w:rsidRPr="001C4D3B" w:rsidRDefault="00432DA6" w:rsidP="00DD4FC8">
      <w:pPr>
        <w:pStyle w:val="FootnoteText"/>
        <w:spacing w:line="360" w:lineRule="auto"/>
        <w:ind w:left="450" w:hanging="450"/>
        <w:jc w:val="both"/>
        <w:rPr>
          <w:sz w:val="22"/>
          <w:szCs w:val="22"/>
          <w:lang w:val="es-ES"/>
        </w:rPr>
      </w:pPr>
      <w:r w:rsidRPr="001C4D3B">
        <w:rPr>
          <w:sz w:val="22"/>
          <w:szCs w:val="22"/>
          <w:lang w:val="es-ES"/>
        </w:rPr>
        <w:t>Avendaño</w:t>
      </w:r>
      <w:r w:rsidR="00D323CE">
        <w:rPr>
          <w:sz w:val="22"/>
          <w:szCs w:val="22"/>
          <w:lang w:val="es-ES"/>
        </w:rPr>
        <w:t xml:space="preserve"> Rojas</w:t>
      </w:r>
      <w:r w:rsidRPr="001C4D3B">
        <w:rPr>
          <w:sz w:val="22"/>
          <w:szCs w:val="22"/>
          <w:lang w:val="es-ES"/>
        </w:rPr>
        <w:t>,</w:t>
      </w:r>
      <w:r>
        <w:rPr>
          <w:sz w:val="22"/>
          <w:szCs w:val="22"/>
          <w:lang w:val="es-ES"/>
        </w:rPr>
        <w:t xml:space="preserve"> </w:t>
      </w:r>
      <w:r w:rsidRPr="001C4D3B">
        <w:rPr>
          <w:sz w:val="22"/>
          <w:szCs w:val="22"/>
          <w:lang w:val="es-ES"/>
        </w:rPr>
        <w:t>Xiomara</w:t>
      </w:r>
      <w:r>
        <w:rPr>
          <w:sz w:val="22"/>
          <w:szCs w:val="22"/>
          <w:lang w:val="es-ES"/>
        </w:rPr>
        <w:t>,</w:t>
      </w:r>
      <w:r w:rsidRPr="001C4D3B">
        <w:rPr>
          <w:sz w:val="22"/>
          <w:szCs w:val="22"/>
          <w:lang w:val="es-ES"/>
        </w:rPr>
        <w:t xml:space="preserve"> “Procesos electorales y clase política en la Federación de Centroamérica, 1810–1840</w:t>
      </w:r>
      <w:r w:rsidR="00FE4DCC">
        <w:rPr>
          <w:sz w:val="22"/>
          <w:szCs w:val="22"/>
          <w:lang w:val="es-ES"/>
        </w:rPr>
        <w:t>”,</w:t>
      </w:r>
      <w:r w:rsidRPr="001C4D3B">
        <w:rPr>
          <w:sz w:val="22"/>
          <w:szCs w:val="22"/>
          <w:lang w:val="es-ES"/>
        </w:rPr>
        <w:t xml:space="preserve"> </w:t>
      </w:r>
      <w:r w:rsidRPr="00417720">
        <w:rPr>
          <w:sz w:val="22"/>
          <w:szCs w:val="22"/>
          <w:lang w:val="es-ES"/>
        </w:rPr>
        <w:t xml:space="preserve">PhD </w:t>
      </w:r>
      <w:proofErr w:type="spellStart"/>
      <w:r w:rsidRPr="00417720">
        <w:rPr>
          <w:sz w:val="22"/>
          <w:szCs w:val="22"/>
          <w:lang w:val="es-ES"/>
        </w:rPr>
        <w:t>diss</w:t>
      </w:r>
      <w:proofErr w:type="spellEnd"/>
      <w:r w:rsidRPr="00417720">
        <w:rPr>
          <w:sz w:val="22"/>
          <w:szCs w:val="22"/>
          <w:lang w:val="es-ES"/>
        </w:rPr>
        <w:t>.,</w:t>
      </w:r>
      <w:r w:rsidRPr="001C4D3B">
        <w:rPr>
          <w:sz w:val="22"/>
          <w:szCs w:val="22"/>
          <w:lang w:val="es-ES"/>
        </w:rPr>
        <w:t xml:space="preserve"> Colegio de México, 1995.</w:t>
      </w:r>
    </w:p>
    <w:p w14:paraId="6403CE05" w14:textId="77777777" w:rsidR="004578AE" w:rsidRPr="00936C95" w:rsidRDefault="00432DA6" w:rsidP="00DD4FC8">
      <w:pPr>
        <w:pStyle w:val="FootnoteText"/>
        <w:spacing w:line="360" w:lineRule="auto"/>
        <w:ind w:left="450" w:hanging="450"/>
        <w:rPr>
          <w:sz w:val="22"/>
          <w:szCs w:val="22"/>
          <w:lang w:val="es-ES"/>
        </w:rPr>
      </w:pPr>
      <w:r w:rsidRPr="004578AE">
        <w:rPr>
          <w:sz w:val="22"/>
          <w:szCs w:val="22"/>
          <w:lang w:val="es-ES"/>
        </w:rPr>
        <w:t xml:space="preserve">Avendaño, Xiomara, </w:t>
      </w:r>
      <w:r w:rsidR="004578AE" w:rsidRPr="00936C95">
        <w:rPr>
          <w:bCs/>
          <w:i/>
          <w:sz w:val="22"/>
          <w:szCs w:val="22"/>
          <w:lang w:val="es-ES"/>
        </w:rPr>
        <w:t>Elecciones indirectas y disputa del poder en Nicaragua: el lento camino hacia la modernidad</w:t>
      </w:r>
      <w:r w:rsidR="004578AE" w:rsidRPr="00936C95">
        <w:rPr>
          <w:i/>
          <w:sz w:val="22"/>
          <w:szCs w:val="22"/>
          <w:lang w:val="es-ES"/>
        </w:rPr>
        <w:t xml:space="preserve">. </w:t>
      </w:r>
      <w:r w:rsidR="004578AE" w:rsidRPr="00936C95">
        <w:rPr>
          <w:sz w:val="22"/>
          <w:szCs w:val="22"/>
          <w:lang w:val="es-ES"/>
        </w:rPr>
        <w:t>Managua, LEA-Grupo Editorial, 2007.</w:t>
      </w:r>
    </w:p>
    <w:p w14:paraId="01037547" w14:textId="77777777" w:rsidR="00D01FD5" w:rsidRPr="001C4D3B" w:rsidRDefault="00D01FD5" w:rsidP="00D01FD5">
      <w:pPr>
        <w:pStyle w:val="FootnoteText"/>
        <w:spacing w:line="360" w:lineRule="auto"/>
        <w:ind w:left="450" w:hanging="450"/>
        <w:jc w:val="both"/>
        <w:rPr>
          <w:i/>
          <w:sz w:val="22"/>
          <w:szCs w:val="22"/>
          <w:lang w:val="es-ES"/>
        </w:rPr>
      </w:pPr>
      <w:r w:rsidRPr="001C4D3B">
        <w:rPr>
          <w:sz w:val="22"/>
          <w:szCs w:val="22"/>
          <w:lang w:val="es-ES"/>
        </w:rPr>
        <w:t>Avendaño</w:t>
      </w:r>
      <w:r>
        <w:rPr>
          <w:sz w:val="22"/>
          <w:szCs w:val="22"/>
          <w:lang w:val="es-ES"/>
        </w:rPr>
        <w:t xml:space="preserve"> Rojas</w:t>
      </w:r>
      <w:r w:rsidRPr="001C4D3B">
        <w:rPr>
          <w:sz w:val="22"/>
          <w:szCs w:val="22"/>
          <w:lang w:val="es-ES"/>
        </w:rPr>
        <w:t>,</w:t>
      </w:r>
      <w:r>
        <w:rPr>
          <w:sz w:val="22"/>
          <w:szCs w:val="22"/>
          <w:lang w:val="es-ES"/>
        </w:rPr>
        <w:t xml:space="preserve"> </w:t>
      </w:r>
      <w:r w:rsidRPr="001C4D3B">
        <w:rPr>
          <w:sz w:val="22"/>
          <w:szCs w:val="22"/>
          <w:lang w:val="es-ES"/>
        </w:rPr>
        <w:t>Xiomara</w:t>
      </w:r>
      <w:r>
        <w:rPr>
          <w:sz w:val="22"/>
          <w:szCs w:val="22"/>
          <w:lang w:val="es-ES"/>
        </w:rPr>
        <w:t xml:space="preserve"> (</w:t>
      </w:r>
      <w:r w:rsidRPr="001C4D3B">
        <w:rPr>
          <w:sz w:val="22"/>
          <w:szCs w:val="22"/>
          <w:lang w:val="es-ES"/>
        </w:rPr>
        <w:t>coord.</w:t>
      </w:r>
      <w:r>
        <w:rPr>
          <w:sz w:val="22"/>
          <w:szCs w:val="22"/>
          <w:lang w:val="es-ES"/>
        </w:rPr>
        <w:t>)</w:t>
      </w:r>
      <w:r w:rsidRPr="001C4D3B">
        <w:rPr>
          <w:sz w:val="22"/>
          <w:szCs w:val="22"/>
          <w:lang w:val="es-ES"/>
        </w:rPr>
        <w:t xml:space="preserve">, </w:t>
      </w:r>
      <w:r w:rsidRPr="001C4D3B">
        <w:rPr>
          <w:i/>
          <w:sz w:val="22"/>
          <w:szCs w:val="22"/>
          <w:lang w:val="es-ES"/>
        </w:rPr>
        <w:t xml:space="preserve">Historia electoral en Centroamérica: </w:t>
      </w:r>
      <w:r w:rsidRPr="001C4D3B">
        <w:rPr>
          <w:bCs/>
          <w:i/>
          <w:sz w:val="22"/>
          <w:szCs w:val="22"/>
          <w:lang w:val="es-ES"/>
        </w:rPr>
        <w:t>elecciones, ciudadanía, representación y organizaciones políticas</w:t>
      </w:r>
      <w:r w:rsidRPr="001C4D3B">
        <w:rPr>
          <w:bCs/>
          <w:sz w:val="22"/>
          <w:szCs w:val="22"/>
          <w:lang w:val="es-ES"/>
        </w:rPr>
        <w:t xml:space="preserve"> </w:t>
      </w:r>
      <w:r w:rsidRPr="001C4D3B">
        <w:rPr>
          <w:bCs/>
          <w:i/>
          <w:sz w:val="22"/>
          <w:szCs w:val="22"/>
          <w:lang w:val="es-ES"/>
        </w:rPr>
        <w:t>(siglo XIX y XX)</w:t>
      </w:r>
      <w:r w:rsidRPr="001C4D3B">
        <w:rPr>
          <w:bCs/>
          <w:sz w:val="22"/>
          <w:szCs w:val="22"/>
          <w:lang w:val="es-ES"/>
        </w:rPr>
        <w:t xml:space="preserve">, </w:t>
      </w:r>
      <w:r w:rsidRPr="001C4D3B">
        <w:rPr>
          <w:bCs/>
          <w:i/>
          <w:sz w:val="22"/>
          <w:szCs w:val="22"/>
          <w:lang w:val="es-ES"/>
        </w:rPr>
        <w:t xml:space="preserve">Boletín de la AFEHC </w:t>
      </w:r>
      <w:r>
        <w:rPr>
          <w:bCs/>
          <w:sz w:val="22"/>
          <w:szCs w:val="22"/>
          <w:lang w:val="es-ES"/>
        </w:rPr>
        <w:t xml:space="preserve">34 ([Francia]: febrero </w:t>
      </w:r>
      <w:r w:rsidRPr="001C4D3B">
        <w:rPr>
          <w:bCs/>
          <w:sz w:val="22"/>
          <w:szCs w:val="22"/>
          <w:lang w:val="es-ES"/>
        </w:rPr>
        <w:t xml:space="preserve">2008, </w:t>
      </w:r>
      <w:r w:rsidRPr="001C4D3B">
        <w:rPr>
          <w:sz w:val="22"/>
          <w:szCs w:val="22"/>
          <w:lang w:val="es-ES"/>
        </w:rPr>
        <w:t>http://afehc-historia-centroamericana.org/index.php?action=bul_aff&amp;id=34</w:t>
      </w:r>
      <w:r>
        <w:rPr>
          <w:sz w:val="22"/>
          <w:szCs w:val="22"/>
          <w:lang w:val="es-ES"/>
        </w:rPr>
        <w:t>.</w:t>
      </w:r>
    </w:p>
    <w:p w14:paraId="7CB6E800" w14:textId="77777777" w:rsidR="00432DA6" w:rsidRPr="001C4D3B" w:rsidRDefault="00432DA6" w:rsidP="00DD4FC8">
      <w:pPr>
        <w:pStyle w:val="FootnoteText"/>
        <w:spacing w:line="360" w:lineRule="auto"/>
        <w:ind w:left="450" w:hanging="450"/>
        <w:jc w:val="both"/>
        <w:rPr>
          <w:sz w:val="22"/>
          <w:szCs w:val="22"/>
          <w:lang w:val="es-ES_tradnl"/>
        </w:rPr>
      </w:pPr>
      <w:r w:rsidRPr="001C4D3B">
        <w:rPr>
          <w:sz w:val="22"/>
          <w:szCs w:val="22"/>
          <w:lang w:val="es-ES"/>
        </w:rPr>
        <w:t>Barrios,</w:t>
      </w:r>
      <w:r>
        <w:rPr>
          <w:sz w:val="22"/>
          <w:szCs w:val="22"/>
          <w:lang w:val="es-ES"/>
        </w:rPr>
        <w:t xml:space="preserve"> </w:t>
      </w:r>
      <w:r w:rsidRPr="001C4D3B">
        <w:rPr>
          <w:sz w:val="22"/>
          <w:szCs w:val="22"/>
          <w:lang w:val="es-ES"/>
        </w:rPr>
        <w:t>Lina</w:t>
      </w:r>
      <w:r>
        <w:rPr>
          <w:sz w:val="22"/>
          <w:szCs w:val="22"/>
          <w:lang w:val="es-ES"/>
        </w:rPr>
        <w:t>,</w:t>
      </w:r>
      <w:r w:rsidRPr="001C4D3B">
        <w:rPr>
          <w:sz w:val="22"/>
          <w:szCs w:val="22"/>
          <w:lang w:val="es-ES"/>
        </w:rPr>
        <w:t xml:space="preserve"> </w:t>
      </w:r>
      <w:r w:rsidRPr="001C4D3B">
        <w:rPr>
          <w:i/>
          <w:sz w:val="22"/>
          <w:szCs w:val="22"/>
          <w:lang w:val="es-ES"/>
        </w:rPr>
        <w:t>La alcaldía indígena en Guatemala: época colonial (1500-1821)</w:t>
      </w:r>
      <w:r w:rsidR="0073176A">
        <w:rPr>
          <w:i/>
          <w:sz w:val="22"/>
          <w:szCs w:val="22"/>
          <w:lang w:val="es-ES"/>
        </w:rPr>
        <w:t xml:space="preserve">, </w:t>
      </w:r>
      <w:r w:rsidRPr="001C4D3B">
        <w:rPr>
          <w:sz w:val="22"/>
          <w:szCs w:val="22"/>
          <w:lang w:val="es-ES"/>
        </w:rPr>
        <w:t>Guatemala</w:t>
      </w:r>
      <w:r w:rsidR="0073176A">
        <w:rPr>
          <w:sz w:val="22"/>
          <w:szCs w:val="22"/>
          <w:lang w:val="es-ES"/>
        </w:rPr>
        <w:t>,</w:t>
      </w:r>
      <w:r w:rsidRPr="001C4D3B">
        <w:rPr>
          <w:sz w:val="22"/>
          <w:szCs w:val="22"/>
          <w:lang w:val="es-ES"/>
        </w:rPr>
        <w:t xml:space="preserve"> Universidad Landívar, Instituto de Investigaciones Económicas y Sociales, 1996.</w:t>
      </w:r>
    </w:p>
    <w:p w14:paraId="0FEF4596" w14:textId="77777777" w:rsidR="00432DA6" w:rsidRPr="006028E0" w:rsidRDefault="00432DA6" w:rsidP="00DD4FC8">
      <w:pPr>
        <w:pStyle w:val="FootnoteText"/>
        <w:spacing w:line="360" w:lineRule="auto"/>
        <w:ind w:left="450" w:hanging="450"/>
        <w:jc w:val="both"/>
        <w:rPr>
          <w:sz w:val="22"/>
          <w:szCs w:val="22"/>
          <w:lang w:val="es-ES"/>
        </w:rPr>
      </w:pPr>
      <w:proofErr w:type="spellStart"/>
      <w:r w:rsidRPr="00EC4404">
        <w:rPr>
          <w:sz w:val="22"/>
          <w:szCs w:val="22"/>
          <w:lang w:val="es-ES"/>
        </w:rPr>
        <w:t>Bayle</w:t>
      </w:r>
      <w:proofErr w:type="spellEnd"/>
      <w:r>
        <w:rPr>
          <w:sz w:val="22"/>
          <w:szCs w:val="22"/>
          <w:lang w:val="es-ES"/>
        </w:rPr>
        <w:t>, Constantino,</w:t>
      </w:r>
      <w:r w:rsidRPr="006028E0">
        <w:rPr>
          <w:sz w:val="22"/>
          <w:szCs w:val="22"/>
          <w:lang w:val="es-ES"/>
        </w:rPr>
        <w:t xml:space="preserve"> “Los Cabildos abiertos en la América hispánica”. Boletín de la</w:t>
      </w:r>
      <w:r>
        <w:rPr>
          <w:sz w:val="22"/>
          <w:szCs w:val="22"/>
          <w:lang w:val="es-ES"/>
        </w:rPr>
        <w:t xml:space="preserve"> </w:t>
      </w:r>
      <w:r w:rsidRPr="006028E0">
        <w:rPr>
          <w:sz w:val="22"/>
          <w:szCs w:val="22"/>
          <w:lang w:val="es-ES"/>
        </w:rPr>
        <w:t xml:space="preserve">Academia Nacional de la Historia 27/25, </w:t>
      </w:r>
      <w:r w:rsidR="00D01FD5" w:rsidRPr="006028E0">
        <w:rPr>
          <w:sz w:val="22"/>
          <w:szCs w:val="22"/>
          <w:lang w:val="es-ES"/>
        </w:rPr>
        <w:t>(Buenos Aires</w:t>
      </w:r>
      <w:r w:rsidR="00D01FD5">
        <w:rPr>
          <w:sz w:val="22"/>
          <w:szCs w:val="22"/>
          <w:lang w:val="es-ES"/>
        </w:rPr>
        <w:t xml:space="preserve">, </w:t>
      </w:r>
      <w:r>
        <w:rPr>
          <w:sz w:val="22"/>
          <w:szCs w:val="22"/>
          <w:lang w:val="es-ES"/>
        </w:rPr>
        <w:t>1951</w:t>
      </w:r>
      <w:r w:rsidR="00D01FD5">
        <w:rPr>
          <w:sz w:val="22"/>
          <w:szCs w:val="22"/>
          <w:lang w:val="es-ES"/>
        </w:rPr>
        <w:t xml:space="preserve">): </w:t>
      </w:r>
      <w:r w:rsidRPr="006028E0">
        <w:rPr>
          <w:sz w:val="22"/>
          <w:szCs w:val="22"/>
          <w:lang w:val="es-ES"/>
        </w:rPr>
        <w:t>575-595.</w:t>
      </w:r>
    </w:p>
    <w:p w14:paraId="694D34A0" w14:textId="745B2A7F" w:rsidR="00417720" w:rsidRPr="00417720" w:rsidRDefault="00265313" w:rsidP="00417720">
      <w:pPr>
        <w:autoSpaceDE w:val="0"/>
        <w:autoSpaceDN w:val="0"/>
        <w:adjustRightInd w:val="0"/>
        <w:spacing w:line="360" w:lineRule="auto"/>
        <w:ind w:left="450" w:hanging="450"/>
        <w:jc w:val="both"/>
        <w:rPr>
          <w:color w:val="211D1E"/>
          <w:sz w:val="22"/>
          <w:szCs w:val="22"/>
        </w:rPr>
      </w:pPr>
      <w:proofErr w:type="spellStart"/>
      <w:r w:rsidRPr="00E45818">
        <w:rPr>
          <w:color w:val="211D1E"/>
          <w:sz w:val="22"/>
          <w:szCs w:val="22"/>
          <w:lang w:val="fr-FR"/>
        </w:rPr>
        <w:t>Belaubre</w:t>
      </w:r>
      <w:proofErr w:type="spellEnd"/>
      <w:r w:rsidRPr="00E45818">
        <w:rPr>
          <w:color w:val="211D1E"/>
          <w:sz w:val="22"/>
          <w:szCs w:val="22"/>
          <w:lang w:val="fr-FR"/>
        </w:rPr>
        <w:t xml:space="preserve">, </w:t>
      </w:r>
      <w:proofErr w:type="spellStart"/>
      <w:proofErr w:type="gramStart"/>
      <w:r w:rsidRPr="00E45818">
        <w:rPr>
          <w:color w:val="211D1E"/>
          <w:sz w:val="22"/>
          <w:szCs w:val="22"/>
          <w:lang w:val="fr-FR"/>
        </w:rPr>
        <w:t>Christophe,“</w:t>
      </w:r>
      <w:proofErr w:type="gramEnd"/>
      <w:r w:rsidRPr="00E45818">
        <w:rPr>
          <w:color w:val="211D1E"/>
          <w:sz w:val="22"/>
          <w:szCs w:val="22"/>
          <w:lang w:val="fr-FR"/>
        </w:rPr>
        <w:t>Le</w:t>
      </w:r>
      <w:proofErr w:type="spellEnd"/>
      <w:r w:rsidRPr="00E45818">
        <w:rPr>
          <w:color w:val="211D1E"/>
          <w:sz w:val="22"/>
          <w:szCs w:val="22"/>
          <w:lang w:val="fr-FR"/>
        </w:rPr>
        <w:t xml:space="preserve"> peuple de la ville de Guatemala (1780-1821): gestation et naissance </w:t>
      </w:r>
      <w:proofErr w:type="spellStart"/>
      <w:r w:rsidRPr="00E45818">
        <w:rPr>
          <w:color w:val="211D1E"/>
          <w:sz w:val="22"/>
          <w:szCs w:val="22"/>
          <w:lang w:val="fr-FR"/>
        </w:rPr>
        <w:t>d"une</w:t>
      </w:r>
      <w:proofErr w:type="spellEnd"/>
      <w:r w:rsidRPr="00E45818">
        <w:rPr>
          <w:color w:val="211D1E"/>
          <w:sz w:val="22"/>
          <w:szCs w:val="22"/>
          <w:lang w:val="fr-FR"/>
        </w:rPr>
        <w:t xml:space="preserve"> communauté de citoyens", </w:t>
      </w:r>
      <w:proofErr w:type="spellStart"/>
      <w:r w:rsidRPr="00E45818">
        <w:rPr>
          <w:i/>
          <w:color w:val="211D1E"/>
          <w:sz w:val="22"/>
          <w:szCs w:val="22"/>
          <w:lang w:val="fr-FR"/>
        </w:rPr>
        <w:t>Nuevo</w:t>
      </w:r>
      <w:proofErr w:type="spellEnd"/>
      <w:r w:rsidRPr="00E45818">
        <w:rPr>
          <w:i/>
          <w:color w:val="211D1E"/>
          <w:sz w:val="22"/>
          <w:szCs w:val="22"/>
          <w:lang w:val="fr-FR"/>
        </w:rPr>
        <w:t xml:space="preserve"> </w:t>
      </w:r>
      <w:proofErr w:type="spellStart"/>
      <w:r w:rsidRPr="00E45818">
        <w:rPr>
          <w:i/>
          <w:color w:val="211D1E"/>
          <w:sz w:val="22"/>
          <w:szCs w:val="22"/>
          <w:lang w:val="fr-FR"/>
        </w:rPr>
        <w:t>Mundo</w:t>
      </w:r>
      <w:proofErr w:type="spellEnd"/>
      <w:r w:rsidRPr="00E45818">
        <w:rPr>
          <w:i/>
          <w:color w:val="211D1E"/>
          <w:sz w:val="22"/>
          <w:szCs w:val="22"/>
          <w:lang w:val="fr-FR"/>
        </w:rPr>
        <w:t xml:space="preserve"> </w:t>
      </w:r>
      <w:proofErr w:type="spellStart"/>
      <w:r w:rsidRPr="00E45818">
        <w:rPr>
          <w:i/>
          <w:color w:val="211D1E"/>
          <w:sz w:val="22"/>
          <w:szCs w:val="22"/>
          <w:lang w:val="fr-FR"/>
        </w:rPr>
        <w:t>Mundos</w:t>
      </w:r>
      <w:proofErr w:type="spellEnd"/>
      <w:r w:rsidRPr="00E45818">
        <w:rPr>
          <w:i/>
          <w:color w:val="211D1E"/>
          <w:sz w:val="22"/>
          <w:szCs w:val="22"/>
          <w:lang w:val="fr-FR"/>
        </w:rPr>
        <w:t xml:space="preserve"> </w:t>
      </w:r>
      <w:proofErr w:type="spellStart"/>
      <w:r w:rsidRPr="00E45818">
        <w:rPr>
          <w:i/>
          <w:color w:val="211D1E"/>
          <w:sz w:val="22"/>
          <w:szCs w:val="22"/>
          <w:lang w:val="fr-FR"/>
        </w:rPr>
        <w:t>Nuevos</w:t>
      </w:r>
      <w:proofErr w:type="spellEnd"/>
      <w:r w:rsidRPr="00E45818">
        <w:rPr>
          <w:i/>
          <w:color w:val="211D1E"/>
          <w:sz w:val="22"/>
          <w:szCs w:val="22"/>
          <w:lang w:val="fr-FR"/>
        </w:rPr>
        <w:t xml:space="preserve">, </w:t>
      </w:r>
      <w:proofErr w:type="spellStart"/>
      <w:r w:rsidRPr="00E45818">
        <w:rPr>
          <w:i/>
          <w:color w:val="211D1E"/>
          <w:sz w:val="22"/>
          <w:szCs w:val="22"/>
          <w:lang w:val="fr-FR"/>
        </w:rPr>
        <w:t>Debates</w:t>
      </w:r>
      <w:proofErr w:type="spellEnd"/>
      <w:r w:rsidRPr="00E45818">
        <w:rPr>
          <w:color w:val="211D1E"/>
          <w:sz w:val="22"/>
          <w:szCs w:val="22"/>
          <w:lang w:val="fr-FR"/>
        </w:rPr>
        <w:t xml:space="preserve">, [En </w:t>
      </w:r>
      <w:proofErr w:type="spellStart"/>
      <w:r w:rsidRPr="00E45818">
        <w:rPr>
          <w:color w:val="211D1E"/>
          <w:sz w:val="22"/>
          <w:szCs w:val="22"/>
          <w:lang w:val="fr-FR"/>
        </w:rPr>
        <w:t>línea</w:t>
      </w:r>
      <w:proofErr w:type="spellEnd"/>
      <w:r w:rsidRPr="00E45818">
        <w:rPr>
          <w:color w:val="211D1E"/>
          <w:sz w:val="22"/>
          <w:szCs w:val="22"/>
          <w:lang w:val="fr-FR"/>
        </w:rPr>
        <w:t xml:space="preserve">], 2011 URL: </w:t>
      </w:r>
      <w:hyperlink r:id="rId9" w:history="1">
        <w:r w:rsidR="00417720" w:rsidRPr="00E45818">
          <w:rPr>
            <w:rStyle w:val="Hyperlink"/>
            <w:sz w:val="22"/>
            <w:szCs w:val="22"/>
            <w:lang w:val="fr-FR"/>
          </w:rPr>
          <w:t xml:space="preserve">http://nuevomundo.revues.org/61186. </w:t>
        </w:r>
        <w:r w:rsidR="00417720" w:rsidRPr="00417720">
          <w:rPr>
            <w:rStyle w:val="Hyperlink"/>
            <w:sz w:val="22"/>
            <w:szCs w:val="22"/>
          </w:rPr>
          <w:t>10 mayo 2011</w:t>
        </w:r>
      </w:hyperlink>
      <w:r w:rsidRPr="00417720">
        <w:rPr>
          <w:color w:val="211D1E"/>
          <w:sz w:val="22"/>
          <w:szCs w:val="22"/>
        </w:rPr>
        <w:t xml:space="preserve"> </w:t>
      </w:r>
    </w:p>
    <w:p w14:paraId="51E8D39D" w14:textId="77777777" w:rsidR="00432DA6" w:rsidRPr="00417720" w:rsidRDefault="00432DA6" w:rsidP="00417720">
      <w:pPr>
        <w:autoSpaceDE w:val="0"/>
        <w:autoSpaceDN w:val="0"/>
        <w:adjustRightInd w:val="0"/>
        <w:spacing w:line="360" w:lineRule="auto"/>
        <w:ind w:left="450" w:hanging="450"/>
        <w:jc w:val="both"/>
        <w:rPr>
          <w:color w:val="211D1E"/>
          <w:sz w:val="22"/>
          <w:szCs w:val="22"/>
        </w:rPr>
      </w:pPr>
      <w:r w:rsidRPr="00417720">
        <w:rPr>
          <w:color w:val="211D1E"/>
          <w:sz w:val="22"/>
          <w:szCs w:val="22"/>
        </w:rPr>
        <w:t>Chiaramonte, José Carlos, “</w:t>
      </w:r>
      <w:r w:rsidRPr="00417720">
        <w:rPr>
          <w:bCs/>
          <w:color w:val="211D1E"/>
          <w:sz w:val="22"/>
          <w:szCs w:val="22"/>
        </w:rPr>
        <w:t xml:space="preserve">The Principle of Consent in Latin and Anglo-American Independence, </w:t>
      </w:r>
      <w:r w:rsidRPr="00417720">
        <w:rPr>
          <w:i/>
          <w:iCs/>
          <w:color w:val="211D1E"/>
          <w:sz w:val="22"/>
          <w:szCs w:val="22"/>
        </w:rPr>
        <w:t>Journal of Latin American Studies</w:t>
      </w:r>
      <w:r w:rsidR="00D01FD5" w:rsidRPr="00417720">
        <w:rPr>
          <w:color w:val="211D1E"/>
          <w:sz w:val="22"/>
          <w:szCs w:val="22"/>
        </w:rPr>
        <w:t xml:space="preserve">, </w:t>
      </w:r>
      <w:r w:rsidRPr="00417720">
        <w:rPr>
          <w:color w:val="211D1E"/>
          <w:sz w:val="22"/>
          <w:szCs w:val="22"/>
        </w:rPr>
        <w:t>36:3 (</w:t>
      </w:r>
      <w:r w:rsidR="00D01FD5" w:rsidRPr="00417720">
        <w:rPr>
          <w:color w:val="211D1E"/>
          <w:sz w:val="22"/>
          <w:szCs w:val="22"/>
        </w:rPr>
        <w:t xml:space="preserve">Cambridge, </w:t>
      </w:r>
      <w:r w:rsidRPr="00417720">
        <w:rPr>
          <w:color w:val="211D1E"/>
          <w:sz w:val="22"/>
          <w:szCs w:val="22"/>
        </w:rPr>
        <w:t xml:space="preserve">2004): 563-586 </w:t>
      </w:r>
    </w:p>
    <w:p w14:paraId="6C0B00AE" w14:textId="77777777" w:rsidR="00D01FD5" w:rsidRPr="001C4D3B" w:rsidRDefault="00D01FD5" w:rsidP="00D01FD5">
      <w:pPr>
        <w:pStyle w:val="FootnoteText"/>
        <w:spacing w:line="360" w:lineRule="auto"/>
        <w:ind w:left="450" w:hanging="450"/>
        <w:jc w:val="both"/>
        <w:rPr>
          <w:sz w:val="22"/>
          <w:szCs w:val="22"/>
          <w:lang w:val="es-ES"/>
        </w:rPr>
      </w:pPr>
      <w:proofErr w:type="spellStart"/>
      <w:r w:rsidRPr="001C4D3B">
        <w:rPr>
          <w:sz w:val="22"/>
          <w:szCs w:val="22"/>
          <w:lang w:val="es-ES"/>
        </w:rPr>
        <w:lastRenderedPageBreak/>
        <w:t>Dardón</w:t>
      </w:r>
      <w:proofErr w:type="spellEnd"/>
      <w:r w:rsidRPr="001C4D3B">
        <w:rPr>
          <w:sz w:val="22"/>
          <w:szCs w:val="22"/>
          <w:lang w:val="es-ES"/>
        </w:rPr>
        <w:t xml:space="preserve"> Flores,</w:t>
      </w:r>
      <w:r>
        <w:rPr>
          <w:sz w:val="22"/>
          <w:szCs w:val="22"/>
          <w:lang w:val="es-ES"/>
        </w:rPr>
        <w:t xml:space="preserve"> </w:t>
      </w:r>
      <w:r w:rsidRPr="001C4D3B">
        <w:rPr>
          <w:sz w:val="22"/>
          <w:szCs w:val="22"/>
          <w:lang w:val="es-ES"/>
        </w:rPr>
        <w:t>Ricardo Danilo</w:t>
      </w:r>
      <w:r>
        <w:rPr>
          <w:sz w:val="22"/>
          <w:szCs w:val="22"/>
          <w:lang w:val="es-ES"/>
        </w:rPr>
        <w:t>,</w:t>
      </w:r>
      <w:r w:rsidRPr="001C4D3B">
        <w:rPr>
          <w:sz w:val="22"/>
          <w:szCs w:val="22"/>
          <w:lang w:val="es-ES"/>
        </w:rPr>
        <w:t xml:space="preserve"> “Modernidad, voto y representación política en la Patria del criollo: la primera experiencia constitucional en Guatemala</w:t>
      </w:r>
      <w:r>
        <w:rPr>
          <w:sz w:val="22"/>
          <w:szCs w:val="22"/>
          <w:lang w:val="es-ES"/>
        </w:rPr>
        <w:t>”,</w:t>
      </w:r>
      <w:r w:rsidRPr="001C4D3B">
        <w:rPr>
          <w:sz w:val="22"/>
          <w:szCs w:val="22"/>
          <w:lang w:val="es-ES"/>
        </w:rPr>
        <w:t xml:space="preserve"> in </w:t>
      </w:r>
      <w:r>
        <w:rPr>
          <w:sz w:val="22"/>
          <w:szCs w:val="22"/>
          <w:lang w:val="es-ES"/>
        </w:rPr>
        <w:t xml:space="preserve">Xiomara </w:t>
      </w:r>
      <w:r w:rsidRPr="001C4D3B">
        <w:rPr>
          <w:sz w:val="22"/>
          <w:szCs w:val="22"/>
          <w:lang w:val="es-ES"/>
        </w:rPr>
        <w:t xml:space="preserve">Avendaño, coord., </w:t>
      </w:r>
      <w:r w:rsidRPr="001C4D3B">
        <w:rPr>
          <w:i/>
          <w:sz w:val="22"/>
          <w:szCs w:val="22"/>
          <w:lang w:val="es-ES"/>
        </w:rPr>
        <w:t>Las elecciones</w:t>
      </w:r>
      <w:r>
        <w:rPr>
          <w:i/>
          <w:sz w:val="22"/>
          <w:szCs w:val="22"/>
          <w:lang w:val="es-ES"/>
        </w:rPr>
        <w:t xml:space="preserve"> </w:t>
      </w:r>
      <w:r>
        <w:rPr>
          <w:sz w:val="22"/>
          <w:szCs w:val="22"/>
          <w:lang w:val="es-ES"/>
        </w:rPr>
        <w:t>2008</w:t>
      </w:r>
      <w:r w:rsidRPr="001C4D3B">
        <w:rPr>
          <w:i/>
          <w:sz w:val="22"/>
          <w:szCs w:val="22"/>
          <w:lang w:val="es-ES"/>
        </w:rPr>
        <w:t xml:space="preserve">, </w:t>
      </w:r>
      <w:r>
        <w:rPr>
          <w:sz w:val="22"/>
          <w:szCs w:val="22"/>
          <w:lang w:val="es-ES"/>
        </w:rPr>
        <w:t xml:space="preserve">URL: </w:t>
      </w:r>
      <w:hyperlink r:id="rId10" w:history="1">
        <w:r w:rsidRPr="00B26FA5">
          <w:rPr>
            <w:rStyle w:val="Hyperlink"/>
            <w:sz w:val="22"/>
            <w:szCs w:val="22"/>
            <w:lang w:val="es-ES"/>
          </w:rPr>
          <w:t>http://afehc-historia-centroamericana.org/index.php?action=fi_aff&amp;id=1829</w:t>
        </w:r>
      </w:hyperlink>
      <w:r w:rsidRPr="001C4D3B">
        <w:rPr>
          <w:sz w:val="22"/>
          <w:szCs w:val="22"/>
          <w:lang w:val="es-ES"/>
        </w:rPr>
        <w:t>.</w:t>
      </w:r>
    </w:p>
    <w:p w14:paraId="7D25FA75" w14:textId="77777777" w:rsidR="000A546A" w:rsidRPr="00936C95" w:rsidRDefault="000A546A" w:rsidP="00DD4FC8">
      <w:pPr>
        <w:pStyle w:val="FootnoteText"/>
        <w:spacing w:line="360" w:lineRule="auto"/>
        <w:ind w:left="450" w:hanging="450"/>
        <w:jc w:val="both"/>
        <w:rPr>
          <w:sz w:val="22"/>
          <w:szCs w:val="22"/>
        </w:rPr>
      </w:pPr>
      <w:proofErr w:type="spellStart"/>
      <w:r w:rsidRPr="00936C95">
        <w:rPr>
          <w:sz w:val="22"/>
          <w:szCs w:val="22"/>
        </w:rPr>
        <w:t>Demélas-Bohy</w:t>
      </w:r>
      <w:proofErr w:type="spellEnd"/>
      <w:r w:rsidRPr="00936C95">
        <w:rPr>
          <w:sz w:val="22"/>
          <w:szCs w:val="22"/>
        </w:rPr>
        <w:t>, Marie-Danielle y Guerra, François-Xavier, “The Hispanic Revolutions: The Adoption of Modern Forms of Representation in Spain and America (1808-1810)</w:t>
      </w:r>
      <w:r w:rsidR="00FE4DCC" w:rsidRPr="00936C95">
        <w:rPr>
          <w:sz w:val="22"/>
          <w:szCs w:val="22"/>
        </w:rPr>
        <w:t>”,</w:t>
      </w:r>
      <w:r w:rsidRPr="00936C95">
        <w:rPr>
          <w:sz w:val="22"/>
          <w:szCs w:val="22"/>
        </w:rPr>
        <w:t xml:space="preserve"> in Posada-</w:t>
      </w:r>
      <w:proofErr w:type="spellStart"/>
      <w:r w:rsidRPr="00936C95">
        <w:rPr>
          <w:sz w:val="22"/>
          <w:szCs w:val="22"/>
        </w:rPr>
        <w:t>Carboó</w:t>
      </w:r>
      <w:proofErr w:type="spellEnd"/>
      <w:r w:rsidRPr="00936C95">
        <w:rPr>
          <w:sz w:val="22"/>
          <w:szCs w:val="22"/>
        </w:rPr>
        <w:t>, ed. 1996, 33-60.</w:t>
      </w:r>
    </w:p>
    <w:p w14:paraId="35066665" w14:textId="77777777" w:rsidR="00432DA6" w:rsidRPr="001C4D3B" w:rsidRDefault="00432DA6" w:rsidP="00DD4FC8">
      <w:pPr>
        <w:pStyle w:val="FootnoteText"/>
        <w:spacing w:line="360" w:lineRule="auto"/>
        <w:ind w:left="450" w:hanging="450"/>
        <w:jc w:val="both"/>
        <w:rPr>
          <w:sz w:val="22"/>
          <w:szCs w:val="22"/>
          <w:lang w:val="es-ES_tradnl"/>
        </w:rPr>
      </w:pPr>
      <w:r w:rsidRPr="001C4D3B">
        <w:rPr>
          <w:sz w:val="22"/>
          <w:szCs w:val="22"/>
          <w:lang w:val="es-ES_tradnl"/>
        </w:rPr>
        <w:t>Dym,</w:t>
      </w:r>
      <w:r>
        <w:rPr>
          <w:sz w:val="22"/>
          <w:szCs w:val="22"/>
          <w:lang w:val="es-ES_tradnl"/>
        </w:rPr>
        <w:t xml:space="preserve"> </w:t>
      </w:r>
      <w:r w:rsidRPr="001C4D3B">
        <w:rPr>
          <w:sz w:val="22"/>
          <w:szCs w:val="22"/>
          <w:lang w:val="es-ES_tradnl"/>
        </w:rPr>
        <w:t>Jordana</w:t>
      </w:r>
      <w:r>
        <w:rPr>
          <w:sz w:val="22"/>
          <w:szCs w:val="22"/>
          <w:lang w:val="es-ES_tradnl"/>
        </w:rPr>
        <w:t>,</w:t>
      </w:r>
      <w:r w:rsidRPr="001C4D3B">
        <w:rPr>
          <w:sz w:val="22"/>
          <w:szCs w:val="22"/>
          <w:lang w:val="es-ES_tradnl"/>
        </w:rPr>
        <w:t xml:space="preserve"> “Cabildo </w:t>
      </w:r>
      <w:proofErr w:type="spellStart"/>
      <w:r w:rsidRPr="001C4D3B">
        <w:rPr>
          <w:sz w:val="22"/>
          <w:szCs w:val="22"/>
          <w:lang w:val="es-ES_tradnl"/>
        </w:rPr>
        <w:t>Database</w:t>
      </w:r>
      <w:proofErr w:type="spellEnd"/>
      <w:r w:rsidR="00FE4DCC">
        <w:rPr>
          <w:sz w:val="22"/>
          <w:szCs w:val="22"/>
          <w:lang w:val="es-ES_tradnl"/>
        </w:rPr>
        <w:t>”,</w:t>
      </w:r>
      <w:r w:rsidRPr="001C4D3B">
        <w:rPr>
          <w:sz w:val="22"/>
          <w:szCs w:val="22"/>
          <w:lang w:val="es-ES_tradnl"/>
        </w:rPr>
        <w:t xml:space="preserve"> </w:t>
      </w:r>
      <w:r w:rsidR="00E6210E">
        <w:rPr>
          <w:sz w:val="22"/>
          <w:szCs w:val="22"/>
          <w:lang w:val="es-ES_tradnl"/>
        </w:rPr>
        <w:t xml:space="preserve">base de datos en </w:t>
      </w:r>
      <w:proofErr w:type="spellStart"/>
      <w:r w:rsidR="00E6210E">
        <w:rPr>
          <w:sz w:val="22"/>
          <w:szCs w:val="22"/>
          <w:lang w:val="es-ES_tradnl"/>
        </w:rPr>
        <w:t>Filemaker</w:t>
      </w:r>
      <w:proofErr w:type="spellEnd"/>
      <w:r w:rsidR="00E6210E">
        <w:rPr>
          <w:sz w:val="22"/>
          <w:szCs w:val="22"/>
          <w:lang w:val="es-ES_tradnl"/>
        </w:rPr>
        <w:t xml:space="preserve"> Pro, 1997-2006</w:t>
      </w:r>
      <w:r w:rsidRPr="001C4D3B">
        <w:rPr>
          <w:sz w:val="22"/>
          <w:szCs w:val="22"/>
          <w:lang w:val="es-ES_tradnl"/>
        </w:rPr>
        <w:t>.</w:t>
      </w:r>
    </w:p>
    <w:p w14:paraId="51930F53" w14:textId="77777777" w:rsidR="00871381" w:rsidRPr="00871381" w:rsidRDefault="00871381" w:rsidP="00871381">
      <w:pPr>
        <w:pStyle w:val="FootnoteText"/>
        <w:spacing w:line="360" w:lineRule="auto"/>
        <w:ind w:left="450" w:hanging="450"/>
        <w:jc w:val="both"/>
        <w:rPr>
          <w:b/>
          <w:bCs/>
          <w:sz w:val="22"/>
          <w:szCs w:val="22"/>
        </w:rPr>
      </w:pPr>
      <w:r>
        <w:rPr>
          <w:bCs/>
          <w:sz w:val="22"/>
          <w:szCs w:val="22"/>
        </w:rPr>
        <w:t>Dym, Jordana, “</w:t>
      </w:r>
      <w:r w:rsidRPr="00871381">
        <w:rPr>
          <w:bCs/>
          <w:sz w:val="22"/>
          <w:szCs w:val="22"/>
        </w:rPr>
        <w:t>Conceiving Central America: A Bourbon Public in the Gazeta de Guatemala (1797–1807)</w:t>
      </w:r>
      <w:r w:rsidR="00FE4DCC">
        <w:rPr>
          <w:bCs/>
          <w:sz w:val="22"/>
          <w:szCs w:val="22"/>
        </w:rPr>
        <w:t>”,</w:t>
      </w:r>
      <w:r>
        <w:rPr>
          <w:bCs/>
          <w:sz w:val="22"/>
          <w:szCs w:val="22"/>
        </w:rPr>
        <w:t xml:space="preserve"> </w:t>
      </w:r>
      <w:r w:rsidRPr="00871381">
        <w:rPr>
          <w:bCs/>
          <w:sz w:val="22"/>
          <w:szCs w:val="22"/>
        </w:rPr>
        <w:t>99-198,</w:t>
      </w:r>
      <w:r>
        <w:rPr>
          <w:bCs/>
          <w:i/>
          <w:sz w:val="22"/>
          <w:szCs w:val="22"/>
        </w:rPr>
        <w:t xml:space="preserve"> </w:t>
      </w:r>
      <w:r>
        <w:rPr>
          <w:bCs/>
          <w:sz w:val="22"/>
          <w:szCs w:val="22"/>
        </w:rPr>
        <w:t xml:space="preserve">en Gabriel Paquette, ed., </w:t>
      </w:r>
      <w:r w:rsidRPr="00871381">
        <w:rPr>
          <w:bCs/>
          <w:i/>
          <w:sz w:val="22"/>
          <w:szCs w:val="22"/>
        </w:rPr>
        <w:t>Enlightened reform in Southern Europe and its Atlantic colonies, c. 1750-1830</w:t>
      </w:r>
      <w:r>
        <w:rPr>
          <w:bCs/>
          <w:sz w:val="22"/>
          <w:szCs w:val="22"/>
        </w:rPr>
        <w:t>, Burlington, VT, Ashgate Press, 2007</w:t>
      </w:r>
    </w:p>
    <w:p w14:paraId="11BFCCCE" w14:textId="77777777" w:rsidR="00432DA6" w:rsidRPr="001C4D3B" w:rsidRDefault="00432DA6" w:rsidP="00DD4FC8">
      <w:pPr>
        <w:pStyle w:val="FootnoteText"/>
        <w:spacing w:line="360" w:lineRule="auto"/>
        <w:ind w:left="450" w:hanging="450"/>
        <w:jc w:val="both"/>
        <w:rPr>
          <w:sz w:val="22"/>
          <w:szCs w:val="22"/>
          <w:lang w:val="es-ES_tradnl"/>
        </w:rPr>
      </w:pPr>
      <w:r w:rsidRPr="001C4D3B">
        <w:rPr>
          <w:sz w:val="22"/>
          <w:szCs w:val="22"/>
          <w:lang w:val="es-ES_tradnl"/>
        </w:rPr>
        <w:t>Dym,</w:t>
      </w:r>
      <w:r>
        <w:rPr>
          <w:sz w:val="22"/>
          <w:szCs w:val="22"/>
          <w:lang w:val="es-ES_tradnl"/>
        </w:rPr>
        <w:t xml:space="preserve"> Jordana,</w:t>
      </w:r>
      <w:r w:rsidRPr="001C4D3B">
        <w:rPr>
          <w:sz w:val="22"/>
          <w:szCs w:val="22"/>
          <w:lang w:val="es-ES_tradnl"/>
        </w:rPr>
        <w:t xml:space="preserve"> “</w:t>
      </w:r>
      <w:r w:rsidRPr="001C4D3B">
        <w:rPr>
          <w:sz w:val="22"/>
          <w:szCs w:val="22"/>
          <w:lang w:val="es-ES"/>
        </w:rPr>
        <w:t>Soberanía Transitiva y Adhesión Condicional: Lealtad e Insurrección en el Reino de Guatemala, 1808-1811</w:t>
      </w:r>
      <w:r w:rsidR="00FE4DCC">
        <w:rPr>
          <w:sz w:val="22"/>
          <w:szCs w:val="22"/>
          <w:lang w:val="es-ES"/>
        </w:rPr>
        <w:t>”,</w:t>
      </w:r>
      <w:r w:rsidRPr="001C4D3B">
        <w:rPr>
          <w:sz w:val="22"/>
          <w:szCs w:val="22"/>
          <w:lang w:val="es-ES"/>
        </w:rPr>
        <w:t xml:space="preserve"> en </w:t>
      </w:r>
      <w:r w:rsidRPr="001C4D3B">
        <w:rPr>
          <w:i/>
          <w:iCs/>
          <w:sz w:val="22"/>
          <w:szCs w:val="22"/>
          <w:lang w:val="es-ES_tradnl"/>
        </w:rPr>
        <w:t>1808: la eclosión juntera en el mundo hispano</w:t>
      </w:r>
      <w:r w:rsidRPr="001C4D3B">
        <w:rPr>
          <w:sz w:val="22"/>
          <w:szCs w:val="22"/>
          <w:lang w:val="es-ES_tradnl"/>
        </w:rPr>
        <w:t xml:space="preserve">, Manuel </w:t>
      </w:r>
      <w:proofErr w:type="spellStart"/>
      <w:r w:rsidRPr="001C4D3B">
        <w:rPr>
          <w:sz w:val="22"/>
          <w:szCs w:val="22"/>
          <w:lang w:val="es-ES_tradnl"/>
        </w:rPr>
        <w:t>Chust</w:t>
      </w:r>
      <w:proofErr w:type="spellEnd"/>
      <w:r w:rsidR="00945615">
        <w:rPr>
          <w:sz w:val="22"/>
          <w:szCs w:val="22"/>
          <w:lang w:val="es-ES_tradnl"/>
        </w:rPr>
        <w:t xml:space="preserve"> (</w:t>
      </w:r>
      <w:r w:rsidRPr="001C4D3B">
        <w:rPr>
          <w:sz w:val="22"/>
          <w:szCs w:val="22"/>
          <w:lang w:val="es-ES_tradnl"/>
        </w:rPr>
        <w:t>ed.</w:t>
      </w:r>
      <w:r w:rsidR="00945615">
        <w:rPr>
          <w:sz w:val="22"/>
          <w:szCs w:val="22"/>
          <w:lang w:val="es-ES_tradnl"/>
        </w:rPr>
        <w:t xml:space="preserve">), </w:t>
      </w:r>
      <w:r w:rsidRPr="001C4D3B">
        <w:rPr>
          <w:sz w:val="22"/>
          <w:szCs w:val="22"/>
          <w:lang w:val="es-ES_tradnl"/>
        </w:rPr>
        <w:t>México</w:t>
      </w:r>
      <w:r w:rsidR="00945615">
        <w:rPr>
          <w:sz w:val="22"/>
          <w:szCs w:val="22"/>
          <w:lang w:val="es-ES_tradnl"/>
        </w:rPr>
        <w:t>,</w:t>
      </w:r>
      <w:r w:rsidRPr="001C4D3B">
        <w:rPr>
          <w:sz w:val="22"/>
          <w:szCs w:val="22"/>
          <w:lang w:val="es-ES_tradnl"/>
        </w:rPr>
        <w:t xml:space="preserve"> Fondo de Cultura Económica, 2008, 105-137.</w:t>
      </w:r>
    </w:p>
    <w:p w14:paraId="0620B2A9" w14:textId="77777777" w:rsidR="00871381" w:rsidRPr="001C4D3B" w:rsidRDefault="00871381" w:rsidP="00871381">
      <w:pPr>
        <w:pStyle w:val="FootnoteText"/>
        <w:spacing w:line="360" w:lineRule="auto"/>
        <w:ind w:left="450" w:hanging="450"/>
        <w:jc w:val="both"/>
        <w:rPr>
          <w:i/>
          <w:sz w:val="22"/>
          <w:szCs w:val="22"/>
        </w:rPr>
      </w:pPr>
      <w:r w:rsidRPr="001C4D3B">
        <w:rPr>
          <w:sz w:val="22"/>
          <w:szCs w:val="22"/>
        </w:rPr>
        <w:t>Dym,</w:t>
      </w:r>
      <w:r>
        <w:rPr>
          <w:sz w:val="22"/>
          <w:szCs w:val="22"/>
        </w:rPr>
        <w:t xml:space="preserve"> </w:t>
      </w:r>
      <w:r w:rsidRPr="001C4D3B">
        <w:rPr>
          <w:sz w:val="22"/>
          <w:szCs w:val="22"/>
        </w:rPr>
        <w:t>Jordana</w:t>
      </w:r>
      <w:r>
        <w:rPr>
          <w:sz w:val="22"/>
          <w:szCs w:val="22"/>
        </w:rPr>
        <w:t>,</w:t>
      </w:r>
      <w:r w:rsidRPr="001C4D3B">
        <w:rPr>
          <w:sz w:val="22"/>
          <w:szCs w:val="22"/>
        </w:rPr>
        <w:t xml:space="preserve"> </w:t>
      </w:r>
      <w:r w:rsidRPr="001C4D3B">
        <w:rPr>
          <w:i/>
          <w:sz w:val="22"/>
          <w:szCs w:val="22"/>
        </w:rPr>
        <w:t>From Sovereign Villages to National States: City, State and Federation in Central America, 1759-1839</w:t>
      </w:r>
      <w:r w:rsidR="00A361DC">
        <w:rPr>
          <w:i/>
          <w:sz w:val="22"/>
          <w:szCs w:val="22"/>
        </w:rPr>
        <w:t xml:space="preserve">, </w:t>
      </w:r>
      <w:r w:rsidRPr="001C4D3B">
        <w:rPr>
          <w:sz w:val="22"/>
          <w:szCs w:val="22"/>
        </w:rPr>
        <w:t>Albuquerque</w:t>
      </w:r>
      <w:r w:rsidR="00A361DC">
        <w:rPr>
          <w:sz w:val="22"/>
          <w:szCs w:val="22"/>
        </w:rPr>
        <w:t>,</w:t>
      </w:r>
      <w:r w:rsidRPr="001C4D3B">
        <w:rPr>
          <w:sz w:val="22"/>
          <w:szCs w:val="22"/>
        </w:rPr>
        <w:t xml:space="preserve"> University of New Mexico Press, 2006</w:t>
      </w:r>
      <w:r w:rsidRPr="001C4D3B">
        <w:rPr>
          <w:i/>
          <w:sz w:val="22"/>
          <w:szCs w:val="22"/>
        </w:rPr>
        <w:t>.</w:t>
      </w:r>
    </w:p>
    <w:p w14:paraId="2F72BD3C" w14:textId="77777777" w:rsidR="00432DA6" w:rsidRPr="001C4D3B" w:rsidRDefault="00432DA6" w:rsidP="00DD4FC8">
      <w:pPr>
        <w:pStyle w:val="FootnoteText"/>
        <w:spacing w:line="360" w:lineRule="auto"/>
        <w:ind w:left="450" w:hanging="450"/>
        <w:jc w:val="both"/>
        <w:rPr>
          <w:sz w:val="22"/>
          <w:szCs w:val="22"/>
        </w:rPr>
      </w:pPr>
      <w:r w:rsidRPr="001C4D3B">
        <w:rPr>
          <w:sz w:val="22"/>
          <w:szCs w:val="22"/>
        </w:rPr>
        <w:t>Dym,</w:t>
      </w:r>
      <w:r>
        <w:rPr>
          <w:sz w:val="22"/>
          <w:szCs w:val="22"/>
        </w:rPr>
        <w:t xml:space="preserve"> </w:t>
      </w:r>
      <w:r w:rsidRPr="001C4D3B">
        <w:rPr>
          <w:sz w:val="22"/>
          <w:szCs w:val="22"/>
        </w:rPr>
        <w:t>Jordana</w:t>
      </w:r>
      <w:r>
        <w:rPr>
          <w:sz w:val="22"/>
          <w:szCs w:val="22"/>
        </w:rPr>
        <w:t>,</w:t>
      </w:r>
      <w:r w:rsidRPr="001C4D3B">
        <w:rPr>
          <w:sz w:val="22"/>
          <w:szCs w:val="22"/>
        </w:rPr>
        <w:t xml:space="preserve"> “The State, the City and the Priest: Conflict Resolution in Independent Central America, 1821-1840”, </w:t>
      </w:r>
      <w:r w:rsidRPr="001C4D3B">
        <w:rPr>
          <w:i/>
          <w:iCs/>
          <w:sz w:val="22"/>
          <w:szCs w:val="22"/>
        </w:rPr>
        <w:t>Comparative urban and community research</w:t>
      </w:r>
      <w:r w:rsidRPr="001C4D3B">
        <w:rPr>
          <w:sz w:val="22"/>
          <w:szCs w:val="22"/>
        </w:rPr>
        <w:t>, 7</w:t>
      </w:r>
      <w:r w:rsidR="00A361DC">
        <w:rPr>
          <w:sz w:val="22"/>
          <w:szCs w:val="22"/>
        </w:rPr>
        <w:t xml:space="preserve"> (2001),</w:t>
      </w:r>
      <w:r w:rsidR="00A361DC" w:rsidRPr="00A361DC">
        <w:rPr>
          <w:sz w:val="22"/>
          <w:szCs w:val="22"/>
        </w:rPr>
        <w:t xml:space="preserve"> </w:t>
      </w:r>
      <w:r w:rsidR="00A361DC" w:rsidRPr="001C4D3B">
        <w:rPr>
          <w:sz w:val="22"/>
          <w:szCs w:val="22"/>
        </w:rPr>
        <w:t>Michael Peter Smith and Thomas Bender</w:t>
      </w:r>
      <w:r w:rsidR="00A361DC">
        <w:rPr>
          <w:sz w:val="22"/>
          <w:szCs w:val="22"/>
        </w:rPr>
        <w:t xml:space="preserve"> (eds.)</w:t>
      </w:r>
      <w:r w:rsidR="00A361DC" w:rsidRPr="001C4D3B">
        <w:rPr>
          <w:sz w:val="22"/>
          <w:szCs w:val="22"/>
        </w:rPr>
        <w:t>,</w:t>
      </w:r>
      <w:r w:rsidR="00A361DC" w:rsidRPr="00A361DC">
        <w:rPr>
          <w:i/>
          <w:sz w:val="22"/>
          <w:szCs w:val="22"/>
        </w:rPr>
        <w:t xml:space="preserve"> </w:t>
      </w:r>
      <w:r w:rsidR="00A361DC" w:rsidRPr="001C4D3B">
        <w:rPr>
          <w:i/>
          <w:sz w:val="22"/>
          <w:szCs w:val="22"/>
        </w:rPr>
        <w:t>City and Nation: rethinking identity and politics</w:t>
      </w:r>
      <w:r w:rsidR="00A361DC">
        <w:rPr>
          <w:sz w:val="22"/>
          <w:szCs w:val="22"/>
        </w:rPr>
        <w:t>,</w:t>
      </w:r>
      <w:r w:rsidRPr="001C4D3B">
        <w:rPr>
          <w:sz w:val="22"/>
          <w:szCs w:val="22"/>
        </w:rPr>
        <w:t xml:space="preserve"> 136-180.</w:t>
      </w:r>
    </w:p>
    <w:p w14:paraId="5FD27758" w14:textId="77777777" w:rsidR="00432DA6" w:rsidRPr="00E45818" w:rsidRDefault="00432DA6" w:rsidP="00DD4FC8">
      <w:pPr>
        <w:pStyle w:val="FootnoteText"/>
        <w:spacing w:line="360" w:lineRule="auto"/>
        <w:ind w:left="450" w:hanging="450"/>
        <w:jc w:val="both"/>
        <w:rPr>
          <w:sz w:val="22"/>
          <w:szCs w:val="22"/>
          <w:lang w:val="fr-FR"/>
        </w:rPr>
      </w:pPr>
      <w:r>
        <w:rPr>
          <w:sz w:val="22"/>
          <w:szCs w:val="22"/>
          <w:lang w:val="fr-FR"/>
        </w:rPr>
        <w:t>Dym, Jordana,</w:t>
      </w:r>
      <w:r w:rsidR="005C4630">
        <w:rPr>
          <w:sz w:val="22"/>
          <w:szCs w:val="22"/>
          <w:lang w:val="fr-FR"/>
        </w:rPr>
        <w:t xml:space="preserve"> </w:t>
      </w:r>
      <w:r w:rsidRPr="001C4D3B">
        <w:rPr>
          <w:sz w:val="22"/>
          <w:szCs w:val="22"/>
          <w:lang w:val="fr-FR"/>
        </w:rPr>
        <w:t>“Ville, Famille et Pouvoir en Amérique Centrale Indépendante, 1821-1850</w:t>
      </w:r>
      <w:r w:rsidR="00FE4DCC">
        <w:rPr>
          <w:sz w:val="22"/>
          <w:szCs w:val="22"/>
          <w:lang w:val="fr-FR"/>
        </w:rPr>
        <w:t>”,</w:t>
      </w:r>
      <w:r w:rsidRPr="001C4D3B">
        <w:rPr>
          <w:sz w:val="22"/>
          <w:szCs w:val="22"/>
          <w:lang w:val="fr-FR"/>
        </w:rPr>
        <w:t xml:space="preserve"> </w:t>
      </w:r>
      <w:r w:rsidR="0076724B">
        <w:rPr>
          <w:sz w:val="22"/>
          <w:szCs w:val="22"/>
          <w:lang w:val="fr-FR"/>
        </w:rPr>
        <w:t>Michel Bertrand (</w:t>
      </w:r>
      <w:proofErr w:type="spellStart"/>
      <w:r w:rsidR="0076724B">
        <w:rPr>
          <w:sz w:val="22"/>
          <w:szCs w:val="22"/>
          <w:lang w:val="fr-FR"/>
        </w:rPr>
        <w:t>coord</w:t>
      </w:r>
      <w:proofErr w:type="spellEnd"/>
      <w:r w:rsidR="0076724B">
        <w:rPr>
          <w:sz w:val="22"/>
          <w:szCs w:val="22"/>
          <w:lang w:val="fr-FR"/>
        </w:rPr>
        <w:t xml:space="preserve">.), </w:t>
      </w:r>
      <w:r w:rsidRPr="001C4D3B">
        <w:rPr>
          <w:i/>
          <w:iCs/>
          <w:sz w:val="22"/>
          <w:szCs w:val="22"/>
          <w:lang w:val="fr-FR"/>
        </w:rPr>
        <w:t>Familles, pouvoirs et institutions</w:t>
      </w:r>
      <w:r w:rsidR="0076724B">
        <w:rPr>
          <w:i/>
          <w:iCs/>
          <w:sz w:val="22"/>
          <w:szCs w:val="22"/>
          <w:lang w:val="fr-FR"/>
        </w:rPr>
        <w:t xml:space="preserve">, </w:t>
      </w:r>
      <w:r w:rsidR="0076724B">
        <w:rPr>
          <w:iCs/>
          <w:sz w:val="22"/>
          <w:szCs w:val="22"/>
          <w:lang w:val="fr-FR"/>
        </w:rPr>
        <w:t xml:space="preserve">Toulouse, </w:t>
      </w:r>
      <w:r w:rsidRPr="001C4D3B">
        <w:rPr>
          <w:sz w:val="22"/>
          <w:szCs w:val="22"/>
          <w:lang w:val="fr-FR"/>
        </w:rPr>
        <w:t>Univ</w:t>
      </w:r>
      <w:r w:rsidR="0076724B">
        <w:rPr>
          <w:sz w:val="22"/>
          <w:szCs w:val="22"/>
          <w:lang w:val="fr-FR"/>
        </w:rPr>
        <w:t>ersité de</w:t>
      </w:r>
      <w:r w:rsidRPr="001C4D3B">
        <w:rPr>
          <w:sz w:val="22"/>
          <w:szCs w:val="22"/>
          <w:lang w:val="fr-FR"/>
        </w:rPr>
        <w:t xml:space="preserve"> </w:t>
      </w:r>
      <w:r w:rsidRPr="00E45818">
        <w:rPr>
          <w:sz w:val="22"/>
          <w:szCs w:val="22"/>
          <w:lang w:val="fr-FR"/>
        </w:rPr>
        <w:t>Toulouse</w:t>
      </w:r>
      <w:r w:rsidR="0076724B" w:rsidRPr="00E45818">
        <w:rPr>
          <w:sz w:val="22"/>
          <w:szCs w:val="22"/>
          <w:lang w:val="fr-FR"/>
        </w:rPr>
        <w:t>- Le Mirail</w:t>
      </w:r>
      <w:r w:rsidRPr="00E45818">
        <w:rPr>
          <w:sz w:val="22"/>
          <w:szCs w:val="22"/>
          <w:lang w:val="fr-FR"/>
        </w:rPr>
        <w:t>, Groupe de Recherche sur l’Amérique Latine, 2005</w:t>
      </w:r>
      <w:r w:rsidR="001D682B" w:rsidRPr="00E45818">
        <w:rPr>
          <w:sz w:val="22"/>
          <w:szCs w:val="22"/>
          <w:lang w:val="fr-FR"/>
        </w:rPr>
        <w:t>,</w:t>
      </w:r>
      <w:r w:rsidRPr="00E45818">
        <w:rPr>
          <w:sz w:val="22"/>
          <w:szCs w:val="22"/>
          <w:lang w:val="fr-FR"/>
        </w:rPr>
        <w:t xml:space="preserve"> 257-283.</w:t>
      </w:r>
    </w:p>
    <w:p w14:paraId="28394EED" w14:textId="77777777" w:rsidR="001D682B" w:rsidRPr="00936C95" w:rsidRDefault="001D682B" w:rsidP="00DD4FC8">
      <w:pPr>
        <w:pStyle w:val="FootnoteText"/>
        <w:spacing w:line="360" w:lineRule="auto"/>
        <w:ind w:left="450" w:hanging="450"/>
        <w:jc w:val="both"/>
        <w:rPr>
          <w:bCs/>
          <w:sz w:val="22"/>
          <w:szCs w:val="22"/>
          <w:lang w:val="es-ES"/>
        </w:rPr>
      </w:pPr>
      <w:r w:rsidRPr="00936C95">
        <w:rPr>
          <w:bCs/>
          <w:sz w:val="22"/>
          <w:szCs w:val="22"/>
          <w:lang w:val="es-ES"/>
        </w:rPr>
        <w:t xml:space="preserve">Dym, </w:t>
      </w:r>
      <w:proofErr w:type="gramStart"/>
      <w:r w:rsidRPr="00936C95">
        <w:rPr>
          <w:bCs/>
          <w:sz w:val="22"/>
          <w:szCs w:val="22"/>
          <w:lang w:val="es-ES"/>
        </w:rPr>
        <w:t>Jordana</w:t>
      </w:r>
      <w:proofErr w:type="gramEnd"/>
      <w:r w:rsidRPr="00936C95">
        <w:rPr>
          <w:bCs/>
          <w:sz w:val="22"/>
          <w:szCs w:val="22"/>
          <w:lang w:val="es-ES"/>
        </w:rPr>
        <w:t xml:space="preserve"> y </w:t>
      </w:r>
      <w:proofErr w:type="spellStart"/>
      <w:r w:rsidRPr="00936C95">
        <w:rPr>
          <w:bCs/>
          <w:sz w:val="22"/>
          <w:szCs w:val="22"/>
          <w:lang w:val="es-ES"/>
        </w:rPr>
        <w:t>Sajid</w:t>
      </w:r>
      <w:proofErr w:type="spellEnd"/>
      <w:r w:rsidRPr="00936C95">
        <w:rPr>
          <w:bCs/>
          <w:sz w:val="22"/>
          <w:szCs w:val="22"/>
          <w:lang w:val="es-ES"/>
        </w:rPr>
        <w:t xml:space="preserve"> Herrera Mena (</w:t>
      </w:r>
      <w:proofErr w:type="spellStart"/>
      <w:r w:rsidRPr="00936C95">
        <w:rPr>
          <w:bCs/>
          <w:sz w:val="22"/>
          <w:szCs w:val="22"/>
          <w:lang w:val="es-ES"/>
        </w:rPr>
        <w:t>cords</w:t>
      </w:r>
      <w:proofErr w:type="spellEnd"/>
      <w:r w:rsidRPr="00936C95">
        <w:rPr>
          <w:bCs/>
          <w:sz w:val="22"/>
          <w:szCs w:val="22"/>
          <w:lang w:val="es-ES"/>
        </w:rPr>
        <w:t xml:space="preserve">.), </w:t>
      </w:r>
      <w:r w:rsidRPr="00936C95">
        <w:rPr>
          <w:bCs/>
          <w:i/>
          <w:sz w:val="22"/>
          <w:szCs w:val="22"/>
          <w:lang w:val="es-ES"/>
        </w:rPr>
        <w:t xml:space="preserve">Centroamérica durante las revoluciones </w:t>
      </w:r>
      <w:proofErr w:type="spellStart"/>
      <w:r w:rsidRPr="00936C95">
        <w:rPr>
          <w:bCs/>
          <w:i/>
          <w:sz w:val="22"/>
          <w:szCs w:val="22"/>
          <w:lang w:val="es-ES"/>
        </w:rPr>
        <w:t>atlanticas</w:t>
      </w:r>
      <w:proofErr w:type="spellEnd"/>
      <w:r w:rsidRPr="00936C95">
        <w:rPr>
          <w:bCs/>
          <w:i/>
          <w:sz w:val="22"/>
          <w:szCs w:val="22"/>
          <w:lang w:val="es-ES"/>
        </w:rPr>
        <w:t>: El vocabulario político, 1750-1850</w:t>
      </w:r>
      <w:r w:rsidRPr="00936C95">
        <w:rPr>
          <w:bCs/>
          <w:sz w:val="22"/>
          <w:szCs w:val="22"/>
          <w:lang w:val="es-ES"/>
        </w:rPr>
        <w:t>, San Salvador, IEESFORD, 2014.</w:t>
      </w:r>
    </w:p>
    <w:p w14:paraId="3995996A" w14:textId="77777777" w:rsidR="00432DA6" w:rsidRPr="001C4D3B" w:rsidRDefault="00432DA6" w:rsidP="00DD4FC8">
      <w:pPr>
        <w:pStyle w:val="FootnoteText"/>
        <w:spacing w:line="360" w:lineRule="auto"/>
        <w:ind w:left="450" w:hanging="450"/>
        <w:jc w:val="both"/>
        <w:rPr>
          <w:sz w:val="22"/>
          <w:szCs w:val="22"/>
          <w:lang w:val="es-ES"/>
        </w:rPr>
      </w:pPr>
      <w:proofErr w:type="spellStart"/>
      <w:r w:rsidRPr="001C4D3B">
        <w:rPr>
          <w:i/>
          <w:sz w:val="22"/>
          <w:szCs w:val="22"/>
          <w:lang w:val="es-ES_tradnl"/>
        </w:rPr>
        <w:t>Estadistica</w:t>
      </w:r>
      <w:proofErr w:type="spellEnd"/>
      <w:r w:rsidRPr="001C4D3B">
        <w:rPr>
          <w:i/>
          <w:sz w:val="22"/>
          <w:szCs w:val="22"/>
          <w:lang w:val="es-ES_tradnl"/>
        </w:rPr>
        <w:t xml:space="preserve"> de la Ciudad de Sonsonate</w:t>
      </w:r>
      <w:proofErr w:type="gramStart"/>
      <w:r w:rsidRPr="001C4D3B">
        <w:rPr>
          <w:sz w:val="22"/>
          <w:szCs w:val="22"/>
          <w:lang w:val="es-ES_tradnl"/>
        </w:rPr>
        <w:t xml:space="preserve">… </w:t>
      </w:r>
      <w:r w:rsidR="00A71703">
        <w:rPr>
          <w:sz w:val="22"/>
          <w:szCs w:val="22"/>
          <w:lang w:val="es-ES_tradnl"/>
        </w:rPr>
        <w:t>,</w:t>
      </w:r>
      <w:proofErr w:type="gramEnd"/>
      <w:r w:rsidR="00A71703">
        <w:rPr>
          <w:sz w:val="22"/>
          <w:szCs w:val="22"/>
          <w:lang w:val="es-ES_tradnl"/>
        </w:rPr>
        <w:t xml:space="preserve"> </w:t>
      </w:r>
      <w:r w:rsidRPr="001C4D3B">
        <w:rPr>
          <w:sz w:val="22"/>
          <w:szCs w:val="22"/>
          <w:lang w:val="es-ES_tradnl"/>
        </w:rPr>
        <w:t>San Salvador: Imprenta del Triunfo, 1853</w:t>
      </w:r>
      <w:r w:rsidR="00CB6E95">
        <w:rPr>
          <w:sz w:val="22"/>
          <w:szCs w:val="22"/>
          <w:lang w:val="es-ES_tradnl"/>
        </w:rPr>
        <w:t>.</w:t>
      </w:r>
      <w:r w:rsidRPr="001C4D3B">
        <w:rPr>
          <w:sz w:val="22"/>
          <w:szCs w:val="22"/>
          <w:lang w:val="es-ES"/>
        </w:rPr>
        <w:t xml:space="preserve"> </w:t>
      </w:r>
    </w:p>
    <w:p w14:paraId="3B2B3DA4" w14:textId="77777777" w:rsidR="00DD4FC8" w:rsidRDefault="00DD4FC8" w:rsidP="00DD4FC8">
      <w:pPr>
        <w:pStyle w:val="FootnoteText"/>
        <w:spacing w:line="360" w:lineRule="auto"/>
        <w:ind w:left="450" w:hanging="450"/>
        <w:jc w:val="both"/>
        <w:rPr>
          <w:sz w:val="22"/>
          <w:szCs w:val="22"/>
          <w:lang w:val="es-ES_tradnl"/>
        </w:rPr>
      </w:pPr>
      <w:r w:rsidRPr="001C4D3B">
        <w:rPr>
          <w:sz w:val="22"/>
          <w:szCs w:val="22"/>
          <w:lang w:val="es-ES_tradnl"/>
        </w:rPr>
        <w:t xml:space="preserve">Esgueva Gómez, Antonio </w:t>
      </w:r>
      <w:r w:rsidRPr="001C4D3B">
        <w:rPr>
          <w:i/>
          <w:sz w:val="22"/>
          <w:szCs w:val="22"/>
          <w:lang w:val="es-ES_tradnl"/>
        </w:rPr>
        <w:t>Las leyes electorales en la historia de Nicaragua</w:t>
      </w:r>
      <w:r>
        <w:rPr>
          <w:sz w:val="22"/>
          <w:szCs w:val="22"/>
          <w:lang w:val="es-ES_tradnl"/>
        </w:rPr>
        <w:t xml:space="preserve">. </w:t>
      </w:r>
      <w:r w:rsidRPr="001C4D3B">
        <w:rPr>
          <w:sz w:val="22"/>
          <w:szCs w:val="22"/>
          <w:lang w:val="es-ES_tradnl"/>
        </w:rPr>
        <w:t>Managua: Editorial El Amanecer, 1995</w:t>
      </w:r>
      <w:r>
        <w:rPr>
          <w:sz w:val="22"/>
          <w:szCs w:val="22"/>
          <w:lang w:val="es-ES_tradnl"/>
        </w:rPr>
        <w:t>.</w:t>
      </w:r>
    </w:p>
    <w:p w14:paraId="04E89705" w14:textId="77777777" w:rsidR="00432DA6" w:rsidRDefault="00DD4FC8" w:rsidP="00DD4FC8">
      <w:pPr>
        <w:pStyle w:val="FootnoteText"/>
        <w:spacing w:line="360" w:lineRule="auto"/>
        <w:ind w:left="450" w:hanging="450"/>
        <w:jc w:val="both"/>
        <w:rPr>
          <w:sz w:val="22"/>
          <w:szCs w:val="22"/>
          <w:lang w:val="es-ES"/>
        </w:rPr>
      </w:pPr>
      <w:r w:rsidRPr="001C4D3B">
        <w:rPr>
          <w:sz w:val="22"/>
          <w:szCs w:val="22"/>
          <w:lang w:val="es-ES_tradnl"/>
        </w:rPr>
        <w:t xml:space="preserve"> </w:t>
      </w:r>
      <w:r w:rsidR="00432DA6" w:rsidRPr="001C4D3B">
        <w:rPr>
          <w:sz w:val="22"/>
          <w:szCs w:val="22"/>
          <w:lang w:val="es-ES"/>
        </w:rPr>
        <w:t>Falcón,</w:t>
      </w:r>
      <w:r w:rsidR="00432DA6">
        <w:rPr>
          <w:sz w:val="22"/>
          <w:szCs w:val="22"/>
          <w:lang w:val="es-ES"/>
        </w:rPr>
        <w:t xml:space="preserve"> </w:t>
      </w:r>
      <w:r w:rsidR="00432DA6" w:rsidRPr="001C4D3B">
        <w:rPr>
          <w:sz w:val="22"/>
          <w:szCs w:val="22"/>
          <w:lang w:val="es-ES"/>
        </w:rPr>
        <w:t>Romana</w:t>
      </w:r>
      <w:r w:rsidR="00432DA6">
        <w:rPr>
          <w:sz w:val="22"/>
          <w:szCs w:val="22"/>
          <w:lang w:val="es-ES"/>
        </w:rPr>
        <w:t>,</w:t>
      </w:r>
      <w:r w:rsidR="00432DA6" w:rsidRPr="001C4D3B">
        <w:rPr>
          <w:sz w:val="22"/>
          <w:szCs w:val="22"/>
          <w:lang w:val="es-ES"/>
        </w:rPr>
        <w:t xml:space="preserve"> “El arte de la petición: rituales de obediencia y negociación, México, segunda mitad del siglo XIX</w:t>
      </w:r>
      <w:r w:rsidR="00FE4DCC">
        <w:rPr>
          <w:sz w:val="22"/>
          <w:szCs w:val="22"/>
          <w:lang w:val="es-ES"/>
        </w:rPr>
        <w:t>”,</w:t>
      </w:r>
      <w:r w:rsidR="00432DA6" w:rsidRPr="001C4D3B">
        <w:rPr>
          <w:sz w:val="22"/>
          <w:szCs w:val="22"/>
          <w:lang w:val="es-ES"/>
        </w:rPr>
        <w:t xml:space="preserve"> </w:t>
      </w:r>
      <w:proofErr w:type="spellStart"/>
      <w:r w:rsidR="00432DA6" w:rsidRPr="001C4D3B">
        <w:rPr>
          <w:i/>
          <w:sz w:val="22"/>
          <w:szCs w:val="22"/>
          <w:lang w:val="es-ES"/>
        </w:rPr>
        <w:t>Hispanic</w:t>
      </w:r>
      <w:proofErr w:type="spellEnd"/>
      <w:r w:rsidR="00432DA6" w:rsidRPr="001C4D3B">
        <w:rPr>
          <w:i/>
          <w:sz w:val="22"/>
          <w:szCs w:val="22"/>
          <w:lang w:val="es-ES"/>
        </w:rPr>
        <w:t xml:space="preserve"> American </w:t>
      </w:r>
      <w:proofErr w:type="spellStart"/>
      <w:r w:rsidR="00432DA6" w:rsidRPr="001C4D3B">
        <w:rPr>
          <w:i/>
          <w:sz w:val="22"/>
          <w:szCs w:val="22"/>
          <w:lang w:val="es-ES"/>
        </w:rPr>
        <w:t>Historical</w:t>
      </w:r>
      <w:proofErr w:type="spellEnd"/>
      <w:r w:rsidR="00432DA6" w:rsidRPr="001C4D3B">
        <w:rPr>
          <w:i/>
          <w:sz w:val="22"/>
          <w:szCs w:val="22"/>
          <w:lang w:val="es-ES"/>
        </w:rPr>
        <w:t xml:space="preserve"> </w:t>
      </w:r>
      <w:proofErr w:type="spellStart"/>
      <w:r w:rsidR="00432DA6" w:rsidRPr="001C4D3B">
        <w:rPr>
          <w:i/>
          <w:sz w:val="22"/>
          <w:szCs w:val="22"/>
          <w:lang w:val="es-ES"/>
        </w:rPr>
        <w:t>Review</w:t>
      </w:r>
      <w:proofErr w:type="spellEnd"/>
      <w:r w:rsidR="00432DA6" w:rsidRPr="001C4D3B">
        <w:rPr>
          <w:i/>
          <w:sz w:val="22"/>
          <w:szCs w:val="22"/>
          <w:lang w:val="es-ES"/>
        </w:rPr>
        <w:t xml:space="preserve"> </w:t>
      </w:r>
      <w:r w:rsidR="00432DA6">
        <w:rPr>
          <w:sz w:val="22"/>
          <w:szCs w:val="22"/>
          <w:lang w:val="es-ES"/>
        </w:rPr>
        <w:t>86:3 (2006): 467-500</w:t>
      </w:r>
      <w:r w:rsidR="00432DA6" w:rsidRPr="001C4D3B">
        <w:rPr>
          <w:sz w:val="22"/>
          <w:szCs w:val="22"/>
          <w:lang w:val="es-ES"/>
        </w:rPr>
        <w:t xml:space="preserve"> </w:t>
      </w:r>
    </w:p>
    <w:p w14:paraId="69F65782" w14:textId="77777777" w:rsidR="00432DA6" w:rsidRPr="001C4D3B" w:rsidRDefault="00432DA6" w:rsidP="00DD4FC8">
      <w:pPr>
        <w:pStyle w:val="FootnoteText"/>
        <w:spacing w:line="360" w:lineRule="auto"/>
        <w:ind w:left="450" w:hanging="450"/>
        <w:jc w:val="both"/>
        <w:rPr>
          <w:sz w:val="22"/>
          <w:szCs w:val="22"/>
          <w:lang w:val="es-ES"/>
        </w:rPr>
      </w:pPr>
      <w:r w:rsidRPr="001C4D3B">
        <w:rPr>
          <w:sz w:val="22"/>
          <w:szCs w:val="22"/>
          <w:lang w:val="es-ES"/>
        </w:rPr>
        <w:t xml:space="preserve">García </w:t>
      </w:r>
      <w:proofErr w:type="spellStart"/>
      <w:r w:rsidRPr="001C4D3B">
        <w:rPr>
          <w:sz w:val="22"/>
          <w:szCs w:val="22"/>
          <w:lang w:val="es-ES"/>
        </w:rPr>
        <w:t>Buchard</w:t>
      </w:r>
      <w:proofErr w:type="spellEnd"/>
      <w:r w:rsidRPr="001C4D3B">
        <w:rPr>
          <w:sz w:val="22"/>
          <w:szCs w:val="22"/>
          <w:lang w:val="es-ES"/>
        </w:rPr>
        <w:t>,</w:t>
      </w:r>
      <w:r>
        <w:rPr>
          <w:sz w:val="22"/>
          <w:szCs w:val="22"/>
          <w:lang w:val="es-ES"/>
        </w:rPr>
        <w:t xml:space="preserve"> </w:t>
      </w:r>
      <w:proofErr w:type="spellStart"/>
      <w:r w:rsidRPr="001C4D3B">
        <w:rPr>
          <w:sz w:val="22"/>
          <w:szCs w:val="22"/>
          <w:lang w:val="es-ES"/>
        </w:rPr>
        <w:t>Ethel</w:t>
      </w:r>
      <w:proofErr w:type="spellEnd"/>
      <w:r>
        <w:rPr>
          <w:sz w:val="22"/>
          <w:szCs w:val="22"/>
          <w:lang w:val="es-ES"/>
        </w:rPr>
        <w:t>,</w:t>
      </w:r>
      <w:r w:rsidRPr="001C4D3B">
        <w:rPr>
          <w:sz w:val="22"/>
          <w:szCs w:val="22"/>
          <w:lang w:val="es-ES"/>
        </w:rPr>
        <w:t xml:space="preserve"> “El camino hacia la centralización del poder en Honduras: Una relectura del período conservador </w:t>
      </w:r>
      <w:r w:rsidRPr="001C4D3B">
        <w:rPr>
          <w:sz w:val="22"/>
          <w:szCs w:val="22"/>
          <w:lang w:val="es-ES_tradnl"/>
        </w:rPr>
        <w:t>(1838-1872)</w:t>
      </w:r>
      <w:r w:rsidR="00FE4DCC">
        <w:rPr>
          <w:sz w:val="22"/>
          <w:szCs w:val="22"/>
          <w:lang w:val="es-ES_tradnl"/>
        </w:rPr>
        <w:t>”,</w:t>
      </w:r>
      <w:r w:rsidRPr="001C4D3B">
        <w:rPr>
          <w:sz w:val="22"/>
          <w:szCs w:val="22"/>
          <w:lang w:val="es-ES_tradnl"/>
        </w:rPr>
        <w:t xml:space="preserve"> XV Congreso Internacional de AHILA 2008, </w:t>
      </w:r>
      <w:proofErr w:type="spellStart"/>
      <w:r w:rsidRPr="001C4D3B">
        <w:rPr>
          <w:sz w:val="22"/>
          <w:szCs w:val="22"/>
          <w:lang w:val="es-ES_tradnl"/>
        </w:rPr>
        <w:t>Universiteit</w:t>
      </w:r>
      <w:proofErr w:type="spellEnd"/>
      <w:r w:rsidRPr="001C4D3B">
        <w:rPr>
          <w:sz w:val="22"/>
          <w:szCs w:val="22"/>
          <w:lang w:val="es-ES_tradnl"/>
        </w:rPr>
        <w:t>, Leiden, 3.</w:t>
      </w:r>
      <w:r w:rsidRPr="001C4D3B">
        <w:rPr>
          <w:b/>
          <w:bCs/>
          <w:kern w:val="32"/>
          <w:sz w:val="22"/>
          <w:szCs w:val="22"/>
          <w:lang w:val="es-ES_tradnl"/>
        </w:rPr>
        <w:t xml:space="preserve"> </w:t>
      </w:r>
    </w:p>
    <w:p w14:paraId="2A87F503"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 xml:space="preserve">García </w:t>
      </w:r>
      <w:proofErr w:type="spellStart"/>
      <w:r w:rsidRPr="001C4D3B">
        <w:rPr>
          <w:sz w:val="22"/>
          <w:szCs w:val="22"/>
          <w:lang w:val="es-ES"/>
        </w:rPr>
        <w:t>Laguardia</w:t>
      </w:r>
      <w:proofErr w:type="spellEnd"/>
      <w:r w:rsidRPr="001C4D3B">
        <w:rPr>
          <w:sz w:val="22"/>
          <w:szCs w:val="22"/>
          <w:lang w:val="es-ES"/>
        </w:rPr>
        <w:t>,</w:t>
      </w:r>
      <w:r>
        <w:rPr>
          <w:sz w:val="22"/>
          <w:szCs w:val="22"/>
          <w:lang w:val="es-ES"/>
        </w:rPr>
        <w:t xml:space="preserve"> </w:t>
      </w:r>
      <w:r w:rsidRPr="001C4D3B">
        <w:rPr>
          <w:sz w:val="22"/>
          <w:szCs w:val="22"/>
          <w:lang w:val="es-ES"/>
        </w:rPr>
        <w:t>Jorge</w:t>
      </w:r>
      <w:r>
        <w:rPr>
          <w:sz w:val="22"/>
          <w:szCs w:val="22"/>
          <w:lang w:val="es-ES"/>
        </w:rPr>
        <w:t>,</w:t>
      </w:r>
      <w:r w:rsidRPr="001C4D3B">
        <w:rPr>
          <w:sz w:val="22"/>
          <w:szCs w:val="22"/>
          <w:lang w:val="es-ES"/>
        </w:rPr>
        <w:t xml:space="preserve"> </w:t>
      </w:r>
      <w:r w:rsidRPr="001C4D3B">
        <w:rPr>
          <w:i/>
          <w:sz w:val="22"/>
          <w:szCs w:val="22"/>
          <w:lang w:val="es-ES"/>
        </w:rPr>
        <w:t>Centroamérica en las Cortes de Cádiz</w:t>
      </w:r>
      <w:r w:rsidR="00CB6E95">
        <w:rPr>
          <w:i/>
          <w:sz w:val="22"/>
          <w:szCs w:val="22"/>
          <w:lang w:val="es-ES"/>
        </w:rPr>
        <w:t xml:space="preserve">, </w:t>
      </w:r>
      <w:r>
        <w:rPr>
          <w:sz w:val="22"/>
          <w:szCs w:val="22"/>
          <w:lang w:val="es-ES"/>
        </w:rPr>
        <w:t>México</w:t>
      </w:r>
      <w:r w:rsidR="00CB6E95">
        <w:rPr>
          <w:sz w:val="22"/>
          <w:szCs w:val="22"/>
          <w:lang w:val="es-ES"/>
        </w:rPr>
        <w:t>,</w:t>
      </w:r>
      <w:r>
        <w:rPr>
          <w:sz w:val="22"/>
          <w:szCs w:val="22"/>
          <w:lang w:val="es-ES"/>
        </w:rPr>
        <w:t xml:space="preserve"> FCE, 1994 (1971)</w:t>
      </w:r>
      <w:r w:rsidR="00CB6E95">
        <w:rPr>
          <w:sz w:val="22"/>
          <w:szCs w:val="22"/>
          <w:lang w:val="es-ES"/>
        </w:rPr>
        <w:t>.</w:t>
      </w:r>
    </w:p>
    <w:p w14:paraId="3CCF4550" w14:textId="77777777" w:rsidR="00432DA6" w:rsidRPr="001C4D3B" w:rsidRDefault="00432DA6" w:rsidP="00DD4FC8">
      <w:pPr>
        <w:pStyle w:val="FootnoteText"/>
        <w:spacing w:line="360" w:lineRule="auto"/>
        <w:ind w:left="450" w:hanging="450"/>
        <w:jc w:val="both"/>
        <w:rPr>
          <w:sz w:val="22"/>
          <w:szCs w:val="22"/>
          <w:lang w:val="es-ES"/>
        </w:rPr>
      </w:pPr>
      <w:r w:rsidRPr="001C4D3B">
        <w:rPr>
          <w:sz w:val="22"/>
          <w:szCs w:val="22"/>
          <w:lang w:val="es-ES"/>
        </w:rPr>
        <w:t xml:space="preserve">García </w:t>
      </w:r>
      <w:proofErr w:type="spellStart"/>
      <w:r w:rsidRPr="001C4D3B">
        <w:rPr>
          <w:sz w:val="22"/>
          <w:szCs w:val="22"/>
          <w:lang w:val="es-ES"/>
        </w:rPr>
        <w:t>Laguardia</w:t>
      </w:r>
      <w:proofErr w:type="spellEnd"/>
      <w:r w:rsidRPr="001C4D3B">
        <w:rPr>
          <w:sz w:val="22"/>
          <w:szCs w:val="22"/>
          <w:lang w:val="es-ES"/>
        </w:rPr>
        <w:t>,</w:t>
      </w:r>
      <w:r>
        <w:rPr>
          <w:sz w:val="22"/>
          <w:szCs w:val="22"/>
          <w:lang w:val="es-ES"/>
        </w:rPr>
        <w:t xml:space="preserve"> </w:t>
      </w:r>
      <w:r w:rsidRPr="001C4D3B">
        <w:rPr>
          <w:sz w:val="22"/>
          <w:szCs w:val="22"/>
          <w:lang w:val="es-ES"/>
        </w:rPr>
        <w:t>Jorge</w:t>
      </w:r>
      <w:r>
        <w:rPr>
          <w:sz w:val="22"/>
          <w:szCs w:val="22"/>
          <w:lang w:val="es-ES"/>
        </w:rPr>
        <w:t xml:space="preserve">, </w:t>
      </w:r>
      <w:r w:rsidRPr="001C4D3B">
        <w:rPr>
          <w:i/>
          <w:sz w:val="22"/>
          <w:szCs w:val="22"/>
          <w:lang w:val="es-ES"/>
        </w:rPr>
        <w:t xml:space="preserve">La reforma liberal en Guatemala: Vida política y orden constitucional </w:t>
      </w:r>
      <w:r>
        <w:rPr>
          <w:sz w:val="22"/>
          <w:szCs w:val="22"/>
          <w:lang w:val="es-ES"/>
        </w:rPr>
        <w:t>2</w:t>
      </w:r>
      <w:r w:rsidR="00CB6E95">
        <w:rPr>
          <w:sz w:val="22"/>
          <w:szCs w:val="22"/>
          <w:lang w:val="es-ES"/>
        </w:rPr>
        <w:t>da</w:t>
      </w:r>
      <w:r>
        <w:rPr>
          <w:sz w:val="22"/>
          <w:szCs w:val="22"/>
          <w:lang w:val="es-ES"/>
        </w:rPr>
        <w:t xml:space="preserve"> </w:t>
      </w:r>
      <w:proofErr w:type="spellStart"/>
      <w:r>
        <w:rPr>
          <w:sz w:val="22"/>
          <w:szCs w:val="22"/>
          <w:lang w:val="es-ES"/>
        </w:rPr>
        <w:t>ed</w:t>
      </w:r>
      <w:proofErr w:type="spellEnd"/>
      <w:r w:rsidR="00CB6E95">
        <w:rPr>
          <w:sz w:val="22"/>
          <w:szCs w:val="22"/>
          <w:lang w:val="es-ES"/>
        </w:rPr>
        <w:t xml:space="preserve">, </w:t>
      </w:r>
      <w:proofErr w:type="spellStart"/>
      <w:r>
        <w:rPr>
          <w:sz w:val="22"/>
          <w:szCs w:val="22"/>
          <w:lang w:val="es-ES"/>
        </w:rPr>
        <w:t>Mexico</w:t>
      </w:r>
      <w:proofErr w:type="spellEnd"/>
      <w:r w:rsidR="00CB6E95">
        <w:rPr>
          <w:sz w:val="22"/>
          <w:szCs w:val="22"/>
          <w:lang w:val="es-ES"/>
        </w:rPr>
        <w:t xml:space="preserve">, </w:t>
      </w:r>
      <w:r>
        <w:rPr>
          <w:sz w:val="22"/>
          <w:szCs w:val="22"/>
          <w:lang w:val="es-ES"/>
        </w:rPr>
        <w:t>UNAM, 1980</w:t>
      </w:r>
      <w:r w:rsidR="00CB6E95">
        <w:rPr>
          <w:sz w:val="22"/>
          <w:szCs w:val="22"/>
          <w:lang w:val="es-ES"/>
        </w:rPr>
        <w:t>.</w:t>
      </w:r>
    </w:p>
    <w:p w14:paraId="76A2E401" w14:textId="77777777" w:rsidR="00432DA6" w:rsidRPr="001C4D3B" w:rsidRDefault="00432DA6" w:rsidP="00DD4FC8">
      <w:pPr>
        <w:pStyle w:val="FootnoteText"/>
        <w:spacing w:line="360" w:lineRule="auto"/>
        <w:ind w:left="450" w:hanging="450"/>
        <w:jc w:val="both"/>
        <w:rPr>
          <w:sz w:val="22"/>
          <w:szCs w:val="22"/>
        </w:rPr>
      </w:pPr>
      <w:r w:rsidRPr="001C4D3B">
        <w:rPr>
          <w:sz w:val="22"/>
          <w:szCs w:val="22"/>
        </w:rPr>
        <w:lastRenderedPageBreak/>
        <w:t>Grandin,</w:t>
      </w:r>
      <w:r>
        <w:rPr>
          <w:sz w:val="22"/>
          <w:szCs w:val="22"/>
        </w:rPr>
        <w:t xml:space="preserve"> </w:t>
      </w:r>
      <w:r w:rsidRPr="001C4D3B">
        <w:rPr>
          <w:sz w:val="22"/>
          <w:szCs w:val="22"/>
        </w:rPr>
        <w:t>Greg</w:t>
      </w:r>
      <w:r>
        <w:rPr>
          <w:sz w:val="22"/>
          <w:szCs w:val="22"/>
        </w:rPr>
        <w:t>,</w:t>
      </w:r>
      <w:r w:rsidRPr="001C4D3B">
        <w:rPr>
          <w:sz w:val="22"/>
          <w:szCs w:val="22"/>
        </w:rPr>
        <w:t xml:space="preserve"> “The Strange Case of “La Mancha Negra”: Maya-State Relations in Nineteenth-Century Guatemala</w:t>
      </w:r>
      <w:r w:rsidR="00FE4DCC">
        <w:rPr>
          <w:sz w:val="22"/>
          <w:szCs w:val="22"/>
        </w:rPr>
        <w:t>”,</w:t>
      </w:r>
      <w:r w:rsidRPr="001C4D3B">
        <w:rPr>
          <w:sz w:val="22"/>
          <w:szCs w:val="22"/>
        </w:rPr>
        <w:t xml:space="preserve"> </w:t>
      </w:r>
      <w:r w:rsidRPr="001C4D3B">
        <w:rPr>
          <w:i/>
          <w:sz w:val="22"/>
          <w:szCs w:val="22"/>
        </w:rPr>
        <w:t>Hispanic American Histori</w:t>
      </w:r>
      <w:r w:rsidR="00CB6E95">
        <w:rPr>
          <w:i/>
          <w:sz w:val="22"/>
          <w:szCs w:val="22"/>
        </w:rPr>
        <w:t>c</w:t>
      </w:r>
      <w:r w:rsidRPr="001C4D3B">
        <w:rPr>
          <w:i/>
          <w:sz w:val="22"/>
          <w:szCs w:val="22"/>
        </w:rPr>
        <w:t xml:space="preserve">al Review, </w:t>
      </w:r>
      <w:r w:rsidRPr="001C4D3B">
        <w:rPr>
          <w:sz w:val="22"/>
          <w:szCs w:val="22"/>
        </w:rPr>
        <w:t>77:2 (1997): 211-243.</w:t>
      </w:r>
    </w:p>
    <w:p w14:paraId="6211E150" w14:textId="77777777" w:rsidR="00432DA6" w:rsidRDefault="00432DA6" w:rsidP="00DD4FC8">
      <w:pPr>
        <w:autoSpaceDE w:val="0"/>
        <w:autoSpaceDN w:val="0"/>
        <w:adjustRightInd w:val="0"/>
        <w:spacing w:line="360" w:lineRule="auto"/>
        <w:ind w:left="450" w:hanging="450"/>
        <w:jc w:val="both"/>
        <w:rPr>
          <w:sz w:val="22"/>
          <w:szCs w:val="22"/>
          <w:lang w:val="es-ES"/>
        </w:rPr>
      </w:pPr>
      <w:r w:rsidRPr="006028E0">
        <w:rPr>
          <w:sz w:val="22"/>
          <w:szCs w:val="22"/>
          <w:lang w:val="es-ES"/>
        </w:rPr>
        <w:t>Guerra,</w:t>
      </w:r>
      <w:r>
        <w:rPr>
          <w:sz w:val="22"/>
          <w:szCs w:val="22"/>
          <w:lang w:val="es-ES"/>
        </w:rPr>
        <w:t xml:space="preserve"> </w:t>
      </w:r>
      <w:r w:rsidRPr="006028E0">
        <w:rPr>
          <w:sz w:val="22"/>
          <w:szCs w:val="22"/>
          <w:lang w:val="es-ES"/>
        </w:rPr>
        <w:t>François-Xavier</w:t>
      </w:r>
      <w:r>
        <w:rPr>
          <w:sz w:val="22"/>
          <w:szCs w:val="22"/>
          <w:lang w:val="es-ES"/>
        </w:rPr>
        <w:t>,</w:t>
      </w:r>
      <w:r w:rsidRPr="006028E0">
        <w:rPr>
          <w:sz w:val="22"/>
          <w:szCs w:val="22"/>
          <w:lang w:val="es-ES"/>
        </w:rPr>
        <w:t xml:space="preserve"> “De la política antigua a la política moderna. La revolución de la soberanía”, en </w:t>
      </w:r>
      <w:r w:rsidR="00CB6E95">
        <w:rPr>
          <w:sz w:val="22"/>
          <w:szCs w:val="22"/>
          <w:lang w:val="es-ES"/>
        </w:rPr>
        <w:t>F.</w:t>
      </w:r>
      <w:r w:rsidRPr="006028E0">
        <w:rPr>
          <w:sz w:val="22"/>
          <w:szCs w:val="22"/>
          <w:lang w:val="es-ES"/>
        </w:rPr>
        <w:t xml:space="preserve">-X. Guerra y </w:t>
      </w:r>
      <w:proofErr w:type="spellStart"/>
      <w:r w:rsidRPr="006028E0">
        <w:rPr>
          <w:sz w:val="22"/>
          <w:szCs w:val="22"/>
          <w:lang w:val="es-ES"/>
        </w:rPr>
        <w:t>Annick</w:t>
      </w:r>
      <w:proofErr w:type="spellEnd"/>
      <w:r w:rsidRPr="006028E0">
        <w:rPr>
          <w:sz w:val="22"/>
          <w:szCs w:val="22"/>
          <w:lang w:val="es-ES"/>
        </w:rPr>
        <w:t xml:space="preserve"> </w:t>
      </w:r>
      <w:proofErr w:type="spellStart"/>
      <w:r w:rsidRPr="006028E0">
        <w:rPr>
          <w:sz w:val="22"/>
          <w:szCs w:val="22"/>
          <w:lang w:val="es-ES"/>
        </w:rPr>
        <w:t>Lempérière</w:t>
      </w:r>
      <w:proofErr w:type="spellEnd"/>
      <w:r w:rsidRPr="006028E0">
        <w:rPr>
          <w:sz w:val="22"/>
          <w:szCs w:val="22"/>
          <w:lang w:val="es-ES"/>
        </w:rPr>
        <w:t xml:space="preserve"> et al., </w:t>
      </w:r>
      <w:r w:rsidRPr="006028E0">
        <w:rPr>
          <w:i/>
          <w:sz w:val="22"/>
          <w:szCs w:val="22"/>
          <w:lang w:val="es-ES"/>
        </w:rPr>
        <w:t>Los espacios públicos en Iberoamérica</w:t>
      </w:r>
      <w:r w:rsidR="00835746">
        <w:rPr>
          <w:sz w:val="22"/>
          <w:szCs w:val="22"/>
          <w:lang w:val="es-ES"/>
        </w:rPr>
        <w:t xml:space="preserve">, </w:t>
      </w:r>
      <w:r>
        <w:rPr>
          <w:sz w:val="22"/>
          <w:szCs w:val="22"/>
          <w:lang w:val="es-ES"/>
        </w:rPr>
        <w:t>México, FCE, 1998</w:t>
      </w:r>
      <w:r w:rsidR="00835746">
        <w:rPr>
          <w:sz w:val="22"/>
          <w:szCs w:val="22"/>
          <w:lang w:val="es-ES"/>
        </w:rPr>
        <w:t>.</w:t>
      </w:r>
    </w:p>
    <w:p w14:paraId="62FDAA14" w14:textId="77777777" w:rsidR="00432DA6" w:rsidRDefault="00432DA6" w:rsidP="00DD4FC8">
      <w:pPr>
        <w:autoSpaceDE w:val="0"/>
        <w:autoSpaceDN w:val="0"/>
        <w:adjustRightInd w:val="0"/>
        <w:spacing w:line="360" w:lineRule="auto"/>
        <w:ind w:left="450" w:hanging="450"/>
        <w:jc w:val="both"/>
        <w:rPr>
          <w:sz w:val="22"/>
          <w:szCs w:val="22"/>
          <w:lang w:val="es-ES"/>
        </w:rPr>
      </w:pPr>
      <w:r w:rsidRPr="00AE7871">
        <w:rPr>
          <w:sz w:val="22"/>
          <w:szCs w:val="22"/>
          <w:lang w:val="pt-BR"/>
        </w:rPr>
        <w:t xml:space="preserve">Guerra, François-Xavier, </w:t>
      </w:r>
      <w:proofErr w:type="spellStart"/>
      <w:r w:rsidRPr="00AE7871">
        <w:rPr>
          <w:i/>
          <w:sz w:val="22"/>
          <w:szCs w:val="22"/>
          <w:lang w:val="pt-BR"/>
        </w:rPr>
        <w:t>Modernidad</w:t>
      </w:r>
      <w:proofErr w:type="spellEnd"/>
      <w:r w:rsidRPr="00AE7871">
        <w:rPr>
          <w:i/>
          <w:sz w:val="22"/>
          <w:szCs w:val="22"/>
          <w:lang w:val="pt-BR"/>
        </w:rPr>
        <w:t xml:space="preserve"> e </w:t>
      </w:r>
      <w:proofErr w:type="spellStart"/>
      <w:r w:rsidRPr="00AE7871">
        <w:rPr>
          <w:i/>
          <w:sz w:val="22"/>
          <w:szCs w:val="22"/>
          <w:lang w:val="pt-BR"/>
        </w:rPr>
        <w:t>independencias</w:t>
      </w:r>
      <w:proofErr w:type="spellEnd"/>
      <w:r w:rsidRPr="00AE7871">
        <w:rPr>
          <w:i/>
          <w:sz w:val="22"/>
          <w:szCs w:val="22"/>
          <w:lang w:val="pt-BR"/>
        </w:rPr>
        <w:t xml:space="preserve">. </w:t>
      </w:r>
      <w:r w:rsidRPr="006028E0">
        <w:rPr>
          <w:i/>
          <w:sz w:val="22"/>
          <w:szCs w:val="22"/>
          <w:lang w:val="es-ES"/>
        </w:rPr>
        <w:t>Ensayos sobre las revoluciones hispánicas</w:t>
      </w:r>
      <w:r w:rsidRPr="006028E0">
        <w:rPr>
          <w:sz w:val="22"/>
          <w:szCs w:val="22"/>
          <w:lang w:val="es-ES"/>
        </w:rPr>
        <w:t>.</w:t>
      </w:r>
      <w:r w:rsidR="005C4630">
        <w:rPr>
          <w:sz w:val="22"/>
          <w:szCs w:val="22"/>
          <w:lang w:val="es-ES"/>
        </w:rPr>
        <w:t xml:space="preserve"> </w:t>
      </w:r>
      <w:r w:rsidRPr="006028E0">
        <w:rPr>
          <w:sz w:val="22"/>
          <w:szCs w:val="22"/>
          <w:lang w:val="es-ES"/>
        </w:rPr>
        <w:t>México, Fo</w:t>
      </w:r>
      <w:r>
        <w:rPr>
          <w:sz w:val="22"/>
          <w:szCs w:val="22"/>
          <w:lang w:val="es-ES"/>
        </w:rPr>
        <w:t>ndo de Cultura Económica, 1992</w:t>
      </w:r>
      <w:r w:rsidR="001D682B">
        <w:rPr>
          <w:sz w:val="22"/>
          <w:szCs w:val="22"/>
          <w:lang w:val="es-ES"/>
        </w:rPr>
        <w:t>.</w:t>
      </w:r>
      <w:r w:rsidRPr="006028E0">
        <w:rPr>
          <w:sz w:val="22"/>
          <w:szCs w:val="22"/>
          <w:lang w:val="es-ES"/>
        </w:rPr>
        <w:t xml:space="preserve">  </w:t>
      </w:r>
    </w:p>
    <w:p w14:paraId="3872B04F" w14:textId="77777777" w:rsidR="00821161" w:rsidRPr="00936C95" w:rsidRDefault="00821161" w:rsidP="00821161">
      <w:pPr>
        <w:autoSpaceDE w:val="0"/>
        <w:autoSpaceDN w:val="0"/>
        <w:adjustRightInd w:val="0"/>
        <w:spacing w:line="360" w:lineRule="auto"/>
        <w:ind w:left="450" w:hanging="450"/>
        <w:jc w:val="both"/>
        <w:rPr>
          <w:sz w:val="22"/>
          <w:szCs w:val="22"/>
          <w:lang w:val="es-ES"/>
        </w:rPr>
      </w:pPr>
      <w:r w:rsidRPr="00936C95">
        <w:rPr>
          <w:sz w:val="22"/>
          <w:szCs w:val="22"/>
          <w:lang w:val="es-ES"/>
        </w:rPr>
        <w:t xml:space="preserve">Gutiérrez, </w:t>
      </w:r>
      <w:proofErr w:type="spellStart"/>
      <w:r w:rsidRPr="00936C95">
        <w:rPr>
          <w:sz w:val="22"/>
          <w:szCs w:val="22"/>
          <w:lang w:val="es-ES"/>
        </w:rPr>
        <w:t>Coralia</w:t>
      </w:r>
      <w:proofErr w:type="spellEnd"/>
      <w:r w:rsidRPr="00936C95">
        <w:rPr>
          <w:sz w:val="22"/>
          <w:szCs w:val="22"/>
          <w:lang w:val="es-ES"/>
        </w:rPr>
        <w:t xml:space="preserve">, “La historiografía contemporánea sobre la independencia en Centroamérica," </w:t>
      </w:r>
      <w:r w:rsidRPr="00936C95">
        <w:rPr>
          <w:i/>
          <w:sz w:val="22"/>
          <w:szCs w:val="22"/>
          <w:lang w:val="es-ES"/>
        </w:rPr>
        <w:t>Nuevo mundo, mundos nuevos</w:t>
      </w:r>
      <w:r w:rsidRPr="00936C95">
        <w:rPr>
          <w:sz w:val="22"/>
          <w:szCs w:val="22"/>
          <w:lang w:val="es-ES"/>
        </w:rPr>
        <w:t xml:space="preserve"> (Paris, 2009), http://nuevomundo.revues.org/54642.</w:t>
      </w:r>
    </w:p>
    <w:p w14:paraId="22E2A7E2" w14:textId="77777777" w:rsidR="00835746" w:rsidRPr="00835746" w:rsidRDefault="00CB17EA" w:rsidP="00D01FD5">
      <w:pPr>
        <w:pStyle w:val="FootnoteText"/>
        <w:spacing w:line="360" w:lineRule="auto"/>
        <w:ind w:left="450" w:hanging="450"/>
        <w:jc w:val="both"/>
        <w:rPr>
          <w:color w:val="080808"/>
          <w:sz w:val="22"/>
          <w:szCs w:val="22"/>
          <w:lang w:val="es-ES"/>
        </w:rPr>
      </w:pPr>
      <w:proofErr w:type="spellStart"/>
      <w:r>
        <w:rPr>
          <w:color w:val="080808"/>
          <w:sz w:val="22"/>
          <w:szCs w:val="22"/>
          <w:lang w:val="es-ES"/>
        </w:rPr>
        <w:t>Habermas</w:t>
      </w:r>
      <w:proofErr w:type="spellEnd"/>
      <w:r>
        <w:rPr>
          <w:color w:val="080808"/>
          <w:sz w:val="22"/>
          <w:szCs w:val="22"/>
          <w:lang w:val="es-ES"/>
        </w:rPr>
        <w:t xml:space="preserve">, </w:t>
      </w:r>
      <w:proofErr w:type="spellStart"/>
      <w:r>
        <w:rPr>
          <w:color w:val="080808"/>
          <w:sz w:val="22"/>
          <w:szCs w:val="22"/>
          <w:lang w:val="es-ES"/>
        </w:rPr>
        <w:t>Jürgen</w:t>
      </w:r>
      <w:proofErr w:type="spellEnd"/>
      <w:r>
        <w:rPr>
          <w:color w:val="080808"/>
          <w:sz w:val="22"/>
          <w:szCs w:val="22"/>
          <w:lang w:val="es-ES"/>
        </w:rPr>
        <w:t xml:space="preserve">, </w:t>
      </w:r>
      <w:r>
        <w:rPr>
          <w:i/>
          <w:color w:val="080808"/>
          <w:sz w:val="22"/>
          <w:szCs w:val="22"/>
          <w:lang w:val="es-ES"/>
        </w:rPr>
        <w:t xml:space="preserve">Historia y </w:t>
      </w:r>
      <w:r w:rsidR="00835746">
        <w:rPr>
          <w:i/>
          <w:color w:val="080808"/>
          <w:sz w:val="22"/>
          <w:szCs w:val="22"/>
          <w:lang w:val="es-ES"/>
        </w:rPr>
        <w:t xml:space="preserve">crítica de la </w:t>
      </w:r>
      <w:r>
        <w:rPr>
          <w:i/>
          <w:color w:val="080808"/>
          <w:sz w:val="22"/>
          <w:szCs w:val="22"/>
          <w:lang w:val="es-ES"/>
        </w:rPr>
        <w:t>opinión pública</w:t>
      </w:r>
      <w:r w:rsidR="00835746">
        <w:rPr>
          <w:i/>
          <w:color w:val="080808"/>
          <w:sz w:val="22"/>
          <w:szCs w:val="22"/>
          <w:lang w:val="es-ES"/>
        </w:rPr>
        <w:t xml:space="preserve">, </w:t>
      </w:r>
      <w:r w:rsidR="00835746">
        <w:rPr>
          <w:color w:val="080808"/>
          <w:sz w:val="22"/>
          <w:szCs w:val="22"/>
          <w:lang w:val="es-ES"/>
        </w:rPr>
        <w:t>Barcelona, Editorial Gustavo Gili, 1981.</w:t>
      </w:r>
    </w:p>
    <w:p w14:paraId="6C4F5321" w14:textId="77777777" w:rsidR="00D01FD5" w:rsidRPr="001C4D3B" w:rsidRDefault="00D01FD5" w:rsidP="00D01FD5">
      <w:pPr>
        <w:pStyle w:val="FootnoteText"/>
        <w:spacing w:line="360" w:lineRule="auto"/>
        <w:ind w:left="450" w:hanging="450"/>
        <w:jc w:val="both"/>
        <w:rPr>
          <w:sz w:val="22"/>
          <w:szCs w:val="22"/>
          <w:lang w:val="es-ES"/>
        </w:rPr>
      </w:pPr>
      <w:proofErr w:type="spellStart"/>
      <w:r w:rsidRPr="001C4D3B">
        <w:rPr>
          <w:color w:val="080808"/>
          <w:sz w:val="22"/>
          <w:szCs w:val="22"/>
          <w:lang w:val="es-ES"/>
        </w:rPr>
        <w:t>Juarros</w:t>
      </w:r>
      <w:proofErr w:type="spellEnd"/>
      <w:r w:rsidRPr="001C4D3B">
        <w:rPr>
          <w:color w:val="080808"/>
          <w:sz w:val="22"/>
          <w:szCs w:val="22"/>
          <w:lang w:val="es-ES"/>
        </w:rPr>
        <w:t>, Domingo</w:t>
      </w:r>
      <w:r>
        <w:rPr>
          <w:color w:val="080808"/>
          <w:sz w:val="22"/>
          <w:szCs w:val="22"/>
          <w:lang w:val="es-ES"/>
        </w:rPr>
        <w:t xml:space="preserve">, </w:t>
      </w:r>
      <w:r w:rsidRPr="001C4D3B">
        <w:rPr>
          <w:color w:val="080808"/>
          <w:sz w:val="22"/>
          <w:szCs w:val="22"/>
          <w:lang w:val="es-ES"/>
        </w:rPr>
        <w:t xml:space="preserve"> </w:t>
      </w:r>
      <w:r w:rsidRPr="001C4D3B">
        <w:rPr>
          <w:i/>
          <w:color w:val="080808"/>
          <w:sz w:val="22"/>
          <w:szCs w:val="22"/>
          <w:lang w:val="es-ES"/>
        </w:rPr>
        <w:t>Compendio de la historia del reino de Guatemala, 1500-1800</w:t>
      </w:r>
      <w:r>
        <w:rPr>
          <w:color w:val="080808"/>
          <w:sz w:val="22"/>
          <w:szCs w:val="22"/>
          <w:lang w:val="es-ES"/>
        </w:rPr>
        <w:t xml:space="preserve">, </w:t>
      </w:r>
      <w:r w:rsidRPr="001C4D3B">
        <w:rPr>
          <w:color w:val="080808"/>
          <w:sz w:val="22"/>
          <w:szCs w:val="22"/>
          <w:lang w:val="es-ES"/>
        </w:rPr>
        <w:t>Guatemala</w:t>
      </w:r>
      <w:r>
        <w:rPr>
          <w:color w:val="080808"/>
          <w:sz w:val="22"/>
          <w:szCs w:val="22"/>
          <w:lang w:val="es-ES"/>
        </w:rPr>
        <w:t>,</w:t>
      </w:r>
      <w:r w:rsidRPr="001C4D3B">
        <w:rPr>
          <w:color w:val="080808"/>
          <w:sz w:val="22"/>
          <w:szCs w:val="22"/>
          <w:lang w:val="es-ES"/>
        </w:rPr>
        <w:t xml:space="preserve"> Editorial </w:t>
      </w:r>
      <w:proofErr w:type="spellStart"/>
      <w:r w:rsidRPr="001C4D3B">
        <w:rPr>
          <w:color w:val="080808"/>
          <w:sz w:val="22"/>
          <w:szCs w:val="22"/>
          <w:lang w:val="es-ES"/>
        </w:rPr>
        <w:t>Piedro</w:t>
      </w:r>
      <w:proofErr w:type="spellEnd"/>
      <w:r w:rsidRPr="001C4D3B">
        <w:rPr>
          <w:color w:val="080808"/>
          <w:sz w:val="22"/>
          <w:szCs w:val="22"/>
          <w:lang w:val="es-ES"/>
        </w:rPr>
        <w:t xml:space="preserve"> Santa, 1981</w:t>
      </w:r>
      <w:r>
        <w:rPr>
          <w:color w:val="080808"/>
          <w:sz w:val="22"/>
          <w:szCs w:val="22"/>
          <w:lang w:val="es-ES"/>
        </w:rPr>
        <w:t>[1808-1818]</w:t>
      </w:r>
      <w:r w:rsidRPr="001C4D3B">
        <w:rPr>
          <w:color w:val="080808"/>
          <w:sz w:val="22"/>
          <w:szCs w:val="22"/>
          <w:lang w:val="es-ES"/>
        </w:rPr>
        <w:t>.</w:t>
      </w:r>
    </w:p>
    <w:p w14:paraId="3A350483" w14:textId="77777777" w:rsidR="00432DA6" w:rsidRPr="00D9226D" w:rsidRDefault="00432DA6" w:rsidP="00DD4FC8">
      <w:pPr>
        <w:pStyle w:val="FootnoteText"/>
        <w:spacing w:line="360" w:lineRule="auto"/>
        <w:ind w:left="450" w:hanging="450"/>
        <w:jc w:val="both"/>
        <w:rPr>
          <w:sz w:val="22"/>
          <w:szCs w:val="22"/>
          <w:lang w:val="es-ES"/>
        </w:rPr>
      </w:pPr>
      <w:proofErr w:type="spellStart"/>
      <w:r w:rsidRPr="00D9226D">
        <w:rPr>
          <w:sz w:val="22"/>
          <w:szCs w:val="22"/>
          <w:lang w:val="es-ES"/>
        </w:rPr>
        <w:t>Lehoucq</w:t>
      </w:r>
      <w:proofErr w:type="spellEnd"/>
      <w:r w:rsidRPr="00D9226D">
        <w:rPr>
          <w:sz w:val="22"/>
          <w:szCs w:val="22"/>
          <w:lang w:val="es-ES"/>
        </w:rPr>
        <w:t xml:space="preserve">, </w:t>
      </w:r>
      <w:proofErr w:type="spellStart"/>
      <w:r w:rsidRPr="00D9226D">
        <w:rPr>
          <w:sz w:val="22"/>
          <w:szCs w:val="22"/>
          <w:lang w:val="es-ES"/>
        </w:rPr>
        <w:t>Fabrice</w:t>
      </w:r>
      <w:proofErr w:type="spellEnd"/>
      <w:r w:rsidRPr="00D9226D">
        <w:rPr>
          <w:sz w:val="22"/>
          <w:szCs w:val="22"/>
          <w:lang w:val="es-ES"/>
        </w:rPr>
        <w:t xml:space="preserve"> E. y Molina, Iván, </w:t>
      </w:r>
      <w:proofErr w:type="spellStart"/>
      <w:r w:rsidRPr="00D9226D">
        <w:rPr>
          <w:i/>
          <w:sz w:val="22"/>
          <w:szCs w:val="22"/>
          <w:lang w:val="es-ES"/>
        </w:rPr>
        <w:t>Stuffing</w:t>
      </w:r>
      <w:proofErr w:type="spellEnd"/>
      <w:r w:rsidRPr="00D9226D">
        <w:rPr>
          <w:i/>
          <w:sz w:val="22"/>
          <w:szCs w:val="22"/>
          <w:lang w:val="es-ES"/>
        </w:rPr>
        <w:t xml:space="preserve"> </w:t>
      </w:r>
      <w:proofErr w:type="spellStart"/>
      <w:r w:rsidRPr="00D9226D">
        <w:rPr>
          <w:i/>
          <w:sz w:val="22"/>
          <w:szCs w:val="22"/>
          <w:lang w:val="es-ES"/>
        </w:rPr>
        <w:t>the</w:t>
      </w:r>
      <w:proofErr w:type="spellEnd"/>
      <w:r w:rsidRPr="00D9226D">
        <w:rPr>
          <w:i/>
          <w:sz w:val="22"/>
          <w:szCs w:val="22"/>
          <w:lang w:val="es-ES"/>
        </w:rPr>
        <w:t xml:space="preserve"> </w:t>
      </w:r>
      <w:proofErr w:type="spellStart"/>
      <w:r w:rsidRPr="00D9226D">
        <w:rPr>
          <w:i/>
          <w:sz w:val="22"/>
          <w:szCs w:val="22"/>
          <w:lang w:val="es-ES"/>
        </w:rPr>
        <w:t>Ballot</w:t>
      </w:r>
      <w:proofErr w:type="spellEnd"/>
      <w:r w:rsidRPr="00D9226D">
        <w:rPr>
          <w:i/>
          <w:sz w:val="22"/>
          <w:szCs w:val="22"/>
          <w:lang w:val="es-ES"/>
        </w:rPr>
        <w:t xml:space="preserve"> Box: </w:t>
      </w:r>
      <w:proofErr w:type="spellStart"/>
      <w:r w:rsidRPr="00D9226D">
        <w:rPr>
          <w:i/>
          <w:sz w:val="22"/>
          <w:szCs w:val="22"/>
          <w:lang w:val="es-ES"/>
        </w:rPr>
        <w:t>Fraud</w:t>
      </w:r>
      <w:proofErr w:type="spellEnd"/>
      <w:r w:rsidRPr="00D9226D">
        <w:rPr>
          <w:i/>
          <w:sz w:val="22"/>
          <w:szCs w:val="22"/>
          <w:lang w:val="es-ES"/>
        </w:rPr>
        <w:t xml:space="preserve">, Electoral </w:t>
      </w:r>
      <w:proofErr w:type="spellStart"/>
      <w:r w:rsidRPr="00D9226D">
        <w:rPr>
          <w:i/>
          <w:sz w:val="22"/>
          <w:szCs w:val="22"/>
          <w:lang w:val="es-ES"/>
        </w:rPr>
        <w:t>Reform</w:t>
      </w:r>
      <w:proofErr w:type="spellEnd"/>
      <w:r w:rsidRPr="00D9226D">
        <w:rPr>
          <w:i/>
          <w:sz w:val="22"/>
          <w:szCs w:val="22"/>
          <w:lang w:val="es-ES"/>
        </w:rPr>
        <w:t xml:space="preserve">, and </w:t>
      </w:r>
      <w:proofErr w:type="spellStart"/>
      <w:r w:rsidRPr="00D9226D">
        <w:rPr>
          <w:i/>
          <w:sz w:val="22"/>
          <w:szCs w:val="22"/>
          <w:lang w:val="es-ES"/>
        </w:rPr>
        <w:t>Democratization</w:t>
      </w:r>
      <w:proofErr w:type="spellEnd"/>
      <w:r w:rsidRPr="00D9226D">
        <w:rPr>
          <w:i/>
          <w:sz w:val="22"/>
          <w:szCs w:val="22"/>
          <w:lang w:val="es-ES"/>
        </w:rPr>
        <w:t xml:space="preserve"> in Costa Rica</w:t>
      </w:r>
      <w:r w:rsidR="00D01FD5" w:rsidRPr="00D9226D">
        <w:rPr>
          <w:i/>
          <w:sz w:val="22"/>
          <w:szCs w:val="22"/>
          <w:lang w:val="es-ES"/>
        </w:rPr>
        <w:t xml:space="preserve">, </w:t>
      </w:r>
      <w:r w:rsidRPr="00D9226D">
        <w:rPr>
          <w:sz w:val="22"/>
          <w:szCs w:val="22"/>
          <w:lang w:val="es-ES"/>
        </w:rPr>
        <w:t xml:space="preserve">Cambridge: Cambridge </w:t>
      </w:r>
      <w:proofErr w:type="spellStart"/>
      <w:r w:rsidRPr="00D9226D">
        <w:rPr>
          <w:sz w:val="22"/>
          <w:szCs w:val="22"/>
          <w:lang w:val="es-ES"/>
        </w:rPr>
        <w:t>University</w:t>
      </w:r>
      <w:proofErr w:type="spellEnd"/>
      <w:r w:rsidRPr="00D9226D">
        <w:rPr>
          <w:sz w:val="22"/>
          <w:szCs w:val="22"/>
          <w:lang w:val="es-ES"/>
        </w:rPr>
        <w:t xml:space="preserve"> </w:t>
      </w:r>
      <w:proofErr w:type="spellStart"/>
      <w:r w:rsidRPr="00D9226D">
        <w:rPr>
          <w:sz w:val="22"/>
          <w:szCs w:val="22"/>
          <w:lang w:val="es-ES"/>
        </w:rPr>
        <w:t>Press</w:t>
      </w:r>
      <w:proofErr w:type="spellEnd"/>
      <w:r w:rsidRPr="00D9226D">
        <w:rPr>
          <w:sz w:val="22"/>
          <w:szCs w:val="22"/>
          <w:lang w:val="es-ES"/>
        </w:rPr>
        <w:t>, 2002</w:t>
      </w:r>
      <w:r w:rsidR="00D01FD5" w:rsidRPr="00D9226D">
        <w:rPr>
          <w:sz w:val="22"/>
          <w:szCs w:val="22"/>
          <w:lang w:val="es-ES"/>
        </w:rPr>
        <w:t>.</w:t>
      </w:r>
    </w:p>
    <w:p w14:paraId="1EFAE23E"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Luján Muñoz</w:t>
      </w:r>
      <w:r>
        <w:rPr>
          <w:i/>
          <w:sz w:val="22"/>
          <w:szCs w:val="22"/>
          <w:lang w:val="es-ES"/>
        </w:rPr>
        <w:t xml:space="preserve">, </w:t>
      </w:r>
      <w:r w:rsidRPr="001C4D3B">
        <w:rPr>
          <w:sz w:val="22"/>
          <w:szCs w:val="22"/>
          <w:lang w:val="es-ES"/>
        </w:rPr>
        <w:t>Jorge</w:t>
      </w:r>
      <w:r>
        <w:rPr>
          <w:sz w:val="22"/>
          <w:szCs w:val="22"/>
          <w:lang w:val="es-ES"/>
        </w:rPr>
        <w:t>,</w:t>
      </w:r>
      <w:r w:rsidRPr="001C4D3B">
        <w:rPr>
          <w:i/>
          <w:sz w:val="22"/>
          <w:szCs w:val="22"/>
          <w:lang w:val="es-ES"/>
        </w:rPr>
        <w:t xml:space="preserve"> La Independencia y la Anexión Centroamericana á México</w:t>
      </w:r>
      <w:r w:rsidR="00824486">
        <w:rPr>
          <w:i/>
          <w:sz w:val="22"/>
          <w:szCs w:val="22"/>
          <w:lang w:val="es-ES"/>
        </w:rPr>
        <w:t xml:space="preserve">, </w:t>
      </w:r>
      <w:r w:rsidRPr="001C4D3B">
        <w:rPr>
          <w:sz w:val="22"/>
          <w:szCs w:val="22"/>
          <w:lang w:val="es-ES"/>
        </w:rPr>
        <w:t>Guatemal</w:t>
      </w:r>
      <w:r w:rsidR="007034D8">
        <w:rPr>
          <w:sz w:val="22"/>
          <w:szCs w:val="22"/>
          <w:lang w:val="es-ES"/>
        </w:rPr>
        <w:t>a</w:t>
      </w:r>
      <w:r w:rsidR="00824486">
        <w:rPr>
          <w:sz w:val="22"/>
          <w:szCs w:val="22"/>
          <w:lang w:val="es-ES"/>
        </w:rPr>
        <w:t>,</w:t>
      </w:r>
      <w:r>
        <w:rPr>
          <w:sz w:val="22"/>
          <w:szCs w:val="22"/>
          <w:lang w:val="es-ES"/>
        </w:rPr>
        <w:t xml:space="preserve"> </w:t>
      </w:r>
      <w:proofErr w:type="spellStart"/>
      <w:r>
        <w:rPr>
          <w:sz w:val="22"/>
          <w:szCs w:val="22"/>
          <w:lang w:val="es-ES"/>
        </w:rPr>
        <w:t>Serviprensa</w:t>
      </w:r>
      <w:proofErr w:type="spellEnd"/>
      <w:r>
        <w:rPr>
          <w:sz w:val="22"/>
          <w:szCs w:val="22"/>
          <w:lang w:val="es-ES"/>
        </w:rPr>
        <w:t>, 1982</w:t>
      </w:r>
      <w:r w:rsidR="00824486">
        <w:rPr>
          <w:sz w:val="22"/>
          <w:szCs w:val="22"/>
          <w:lang w:val="es-ES"/>
        </w:rPr>
        <w:t>.</w:t>
      </w:r>
    </w:p>
    <w:p w14:paraId="19C63766" w14:textId="77777777" w:rsidR="00490BE7" w:rsidRDefault="00490BE7" w:rsidP="00490BE7">
      <w:pPr>
        <w:pStyle w:val="FootnoteText"/>
        <w:spacing w:line="360" w:lineRule="auto"/>
        <w:ind w:left="450" w:hanging="450"/>
        <w:jc w:val="both"/>
        <w:rPr>
          <w:sz w:val="22"/>
          <w:szCs w:val="22"/>
          <w:lang w:val="es-ES"/>
        </w:rPr>
      </w:pPr>
      <w:r w:rsidRPr="001C4D3B">
        <w:rPr>
          <w:sz w:val="22"/>
          <w:szCs w:val="22"/>
          <w:lang w:val="es-ES"/>
        </w:rPr>
        <w:t>Luján Muñoz</w:t>
      </w:r>
      <w:r>
        <w:rPr>
          <w:i/>
          <w:sz w:val="22"/>
          <w:szCs w:val="22"/>
          <w:lang w:val="es-ES"/>
        </w:rPr>
        <w:t xml:space="preserve">, </w:t>
      </w:r>
      <w:r w:rsidRPr="001C4D3B">
        <w:rPr>
          <w:sz w:val="22"/>
          <w:szCs w:val="22"/>
          <w:lang w:val="es-ES"/>
        </w:rPr>
        <w:t>Jorge</w:t>
      </w:r>
      <w:r>
        <w:rPr>
          <w:sz w:val="22"/>
          <w:szCs w:val="22"/>
          <w:lang w:val="es-ES"/>
        </w:rPr>
        <w:t>, “</w:t>
      </w:r>
      <w:r w:rsidRPr="00936C95">
        <w:rPr>
          <w:sz w:val="22"/>
          <w:szCs w:val="22"/>
          <w:lang w:val="es-ES"/>
        </w:rPr>
        <w:t xml:space="preserve">Los partidos políticos en Guatemala desde la Independencia hasta el fin de la Federación", </w:t>
      </w:r>
      <w:r w:rsidRPr="00936C95">
        <w:rPr>
          <w:i/>
          <w:sz w:val="22"/>
          <w:szCs w:val="22"/>
          <w:lang w:val="es-ES"/>
        </w:rPr>
        <w:t>Anales de la Academia de</w:t>
      </w:r>
      <w:r>
        <w:rPr>
          <w:sz w:val="22"/>
          <w:szCs w:val="22"/>
          <w:lang w:val="es-ES"/>
        </w:rPr>
        <w:t xml:space="preserve"> </w:t>
      </w:r>
      <w:r w:rsidRPr="00936C95">
        <w:rPr>
          <w:i/>
          <w:sz w:val="22"/>
          <w:szCs w:val="22"/>
          <w:lang w:val="es-ES"/>
        </w:rPr>
        <w:t xml:space="preserve">Geografía e Historia de Guatemala </w:t>
      </w:r>
      <w:r w:rsidRPr="00936C95">
        <w:rPr>
          <w:sz w:val="22"/>
          <w:szCs w:val="22"/>
          <w:lang w:val="es-ES"/>
        </w:rPr>
        <w:t>(Guatemala, 1989):  29-80.</w:t>
      </w:r>
    </w:p>
    <w:p w14:paraId="72BBB955" w14:textId="5534772D" w:rsidR="00D9226D" w:rsidRPr="00D9226D" w:rsidRDefault="00A50D9A" w:rsidP="00DD4FC8">
      <w:pPr>
        <w:pStyle w:val="FootnoteText"/>
        <w:spacing w:line="360" w:lineRule="auto"/>
        <w:ind w:left="450" w:hanging="450"/>
        <w:jc w:val="both"/>
        <w:rPr>
          <w:sz w:val="22"/>
          <w:szCs w:val="22"/>
          <w:lang w:val="fr-FR"/>
        </w:rPr>
      </w:pPr>
      <w:r w:rsidRPr="00D9226D">
        <w:rPr>
          <w:sz w:val="22"/>
          <w:szCs w:val="22"/>
          <w:lang w:val="fr-FR"/>
        </w:rPr>
        <w:t xml:space="preserve">Manin, Bernard, </w:t>
      </w:r>
      <w:r w:rsidRPr="00D9226D">
        <w:rPr>
          <w:i/>
          <w:iCs/>
          <w:sz w:val="22"/>
          <w:szCs w:val="22"/>
          <w:lang w:val="fr-FR"/>
        </w:rPr>
        <w:t xml:space="preserve">Principes du gouvernement </w:t>
      </w:r>
      <w:r w:rsidR="00D9226D" w:rsidRPr="00D9226D">
        <w:rPr>
          <w:i/>
          <w:iCs/>
          <w:sz w:val="22"/>
          <w:szCs w:val="22"/>
          <w:lang w:val="fr-FR"/>
        </w:rPr>
        <w:t>représentatif</w:t>
      </w:r>
      <w:r w:rsidR="00D9226D">
        <w:rPr>
          <w:i/>
          <w:iCs/>
          <w:sz w:val="22"/>
          <w:szCs w:val="22"/>
          <w:lang w:val="fr-FR"/>
        </w:rPr>
        <w:t xml:space="preserve">, </w:t>
      </w:r>
      <w:r w:rsidRPr="00D9226D">
        <w:rPr>
          <w:sz w:val="22"/>
          <w:szCs w:val="22"/>
          <w:lang w:val="fr-FR"/>
        </w:rPr>
        <w:t>Paris</w:t>
      </w:r>
      <w:r w:rsidR="00D9226D">
        <w:rPr>
          <w:sz w:val="22"/>
          <w:szCs w:val="22"/>
          <w:lang w:val="fr-FR"/>
        </w:rPr>
        <w:t>,</w:t>
      </w:r>
      <w:r w:rsidRPr="00D9226D">
        <w:rPr>
          <w:sz w:val="22"/>
          <w:szCs w:val="22"/>
          <w:lang w:val="fr-FR"/>
        </w:rPr>
        <w:t xml:space="preserve"> </w:t>
      </w:r>
      <w:r w:rsidR="00D9226D" w:rsidRPr="00D9226D">
        <w:rPr>
          <w:sz w:val="22"/>
          <w:szCs w:val="22"/>
          <w:lang w:val="fr-FR"/>
        </w:rPr>
        <w:t>Champs Flammarion, 1996</w:t>
      </w:r>
      <w:r w:rsidR="00D9226D">
        <w:rPr>
          <w:sz w:val="22"/>
          <w:szCs w:val="22"/>
          <w:lang w:val="fr-FR"/>
        </w:rPr>
        <w:t>.</w:t>
      </w:r>
    </w:p>
    <w:p w14:paraId="6447F37B" w14:textId="2E183BD2" w:rsidR="00432DA6" w:rsidRPr="001C4D3B" w:rsidRDefault="00432DA6" w:rsidP="00DD4FC8">
      <w:pPr>
        <w:pStyle w:val="FootnoteText"/>
        <w:spacing w:line="360" w:lineRule="auto"/>
        <w:ind w:left="450" w:hanging="450"/>
        <w:jc w:val="both"/>
        <w:rPr>
          <w:b/>
          <w:sz w:val="22"/>
          <w:szCs w:val="22"/>
          <w:lang w:val="es-ES"/>
        </w:rPr>
      </w:pPr>
      <w:proofErr w:type="spellStart"/>
      <w:r w:rsidRPr="001C4D3B">
        <w:rPr>
          <w:sz w:val="22"/>
          <w:szCs w:val="22"/>
          <w:lang w:val="es-ES"/>
        </w:rPr>
        <w:t>Marure</w:t>
      </w:r>
      <w:proofErr w:type="spellEnd"/>
      <w:r w:rsidRPr="001C4D3B">
        <w:rPr>
          <w:sz w:val="22"/>
          <w:szCs w:val="22"/>
          <w:lang w:val="es-ES"/>
        </w:rPr>
        <w:t>,</w:t>
      </w:r>
      <w:r>
        <w:rPr>
          <w:sz w:val="22"/>
          <w:szCs w:val="22"/>
          <w:lang w:val="es-ES"/>
        </w:rPr>
        <w:t xml:space="preserve"> </w:t>
      </w:r>
      <w:r w:rsidRPr="001C4D3B">
        <w:rPr>
          <w:sz w:val="22"/>
          <w:szCs w:val="22"/>
          <w:lang w:val="es-ES"/>
        </w:rPr>
        <w:t>Alejandro</w:t>
      </w:r>
      <w:r>
        <w:rPr>
          <w:sz w:val="22"/>
          <w:szCs w:val="22"/>
          <w:lang w:val="es-ES"/>
        </w:rPr>
        <w:t>,</w:t>
      </w:r>
      <w:r w:rsidRPr="001C4D3B">
        <w:rPr>
          <w:sz w:val="22"/>
          <w:szCs w:val="22"/>
          <w:lang w:val="es-ES"/>
        </w:rPr>
        <w:t xml:space="preserve"> </w:t>
      </w:r>
      <w:r w:rsidRPr="001C4D3B">
        <w:rPr>
          <w:i/>
          <w:sz w:val="22"/>
          <w:szCs w:val="22"/>
          <w:lang w:val="es-ES"/>
        </w:rPr>
        <w:t xml:space="preserve">Bosquejo Histórico de las revoluciones de Centroamérica </w:t>
      </w:r>
      <w:r w:rsidRPr="001C4D3B">
        <w:rPr>
          <w:iCs/>
          <w:sz w:val="22"/>
          <w:szCs w:val="22"/>
          <w:lang w:val="es-ES"/>
        </w:rPr>
        <w:t>(Guatemala: Editorial del Ministerio de Educación Pública, 1960</w:t>
      </w:r>
      <w:r w:rsidR="00824486">
        <w:rPr>
          <w:iCs/>
          <w:sz w:val="22"/>
          <w:szCs w:val="22"/>
          <w:lang w:val="es-ES"/>
        </w:rPr>
        <w:t xml:space="preserve"> </w:t>
      </w:r>
      <w:r w:rsidRPr="001C4D3B">
        <w:rPr>
          <w:iCs/>
          <w:sz w:val="22"/>
          <w:szCs w:val="22"/>
          <w:lang w:val="es-ES"/>
        </w:rPr>
        <w:t>[1837]</w:t>
      </w:r>
      <w:r w:rsidR="00824486">
        <w:rPr>
          <w:iCs/>
          <w:sz w:val="22"/>
          <w:szCs w:val="22"/>
          <w:lang w:val="es-ES"/>
        </w:rPr>
        <w:t>.</w:t>
      </w:r>
    </w:p>
    <w:p w14:paraId="3754B510" w14:textId="77777777" w:rsidR="00432DA6" w:rsidRPr="00936C95" w:rsidRDefault="00432DA6" w:rsidP="000A5FD9">
      <w:pPr>
        <w:autoSpaceDE w:val="0"/>
        <w:autoSpaceDN w:val="0"/>
        <w:adjustRightInd w:val="0"/>
        <w:rPr>
          <w:sz w:val="20"/>
          <w:szCs w:val="20"/>
          <w:lang w:val="es-ES"/>
        </w:rPr>
      </w:pPr>
      <w:proofErr w:type="spellStart"/>
      <w:r w:rsidRPr="000A5FD9">
        <w:rPr>
          <w:sz w:val="22"/>
          <w:szCs w:val="22"/>
          <w:lang w:val="es-ES"/>
        </w:rPr>
        <w:t>Melendez</w:t>
      </w:r>
      <w:proofErr w:type="spellEnd"/>
      <w:r w:rsidRPr="000A5FD9">
        <w:rPr>
          <w:sz w:val="22"/>
          <w:szCs w:val="22"/>
          <w:lang w:val="es-ES"/>
        </w:rPr>
        <w:t xml:space="preserve"> </w:t>
      </w:r>
      <w:proofErr w:type="spellStart"/>
      <w:r w:rsidRPr="000A5FD9">
        <w:rPr>
          <w:sz w:val="22"/>
          <w:szCs w:val="22"/>
          <w:lang w:val="es-ES"/>
        </w:rPr>
        <w:t>Chaverri</w:t>
      </w:r>
      <w:proofErr w:type="spellEnd"/>
      <w:r w:rsidRPr="000A5FD9">
        <w:rPr>
          <w:sz w:val="22"/>
          <w:szCs w:val="22"/>
          <w:lang w:val="es-ES"/>
        </w:rPr>
        <w:t>, Carlos</w:t>
      </w:r>
      <w:r w:rsidR="000A5FD9">
        <w:rPr>
          <w:sz w:val="22"/>
          <w:szCs w:val="22"/>
          <w:lang w:val="es-ES"/>
        </w:rPr>
        <w:t xml:space="preserve">, </w:t>
      </w:r>
      <w:r w:rsidR="000A5FD9" w:rsidRPr="00936C95">
        <w:rPr>
          <w:i/>
          <w:lang w:val="es-ES"/>
        </w:rPr>
        <w:t>La independencia de Centroamérica,</w:t>
      </w:r>
      <w:r w:rsidR="000A5FD9" w:rsidRPr="00936C95">
        <w:rPr>
          <w:lang w:val="es-ES"/>
        </w:rPr>
        <w:t xml:space="preserve"> Madrid, MAPFRE, 1993.</w:t>
      </w:r>
    </w:p>
    <w:p w14:paraId="47B2F88F"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Obregón Quesada,</w:t>
      </w:r>
      <w:r>
        <w:rPr>
          <w:sz w:val="22"/>
          <w:szCs w:val="22"/>
          <w:lang w:val="es-ES"/>
        </w:rPr>
        <w:t xml:space="preserve"> </w:t>
      </w:r>
      <w:r w:rsidRPr="001C4D3B">
        <w:rPr>
          <w:sz w:val="22"/>
          <w:szCs w:val="22"/>
          <w:lang w:val="es-ES"/>
        </w:rPr>
        <w:t>Clotilde</w:t>
      </w:r>
      <w:r>
        <w:rPr>
          <w:sz w:val="22"/>
          <w:szCs w:val="22"/>
          <w:lang w:val="es-ES"/>
        </w:rPr>
        <w:t>,</w:t>
      </w:r>
      <w:r w:rsidRPr="001C4D3B">
        <w:rPr>
          <w:sz w:val="22"/>
          <w:szCs w:val="22"/>
          <w:lang w:val="es-ES"/>
        </w:rPr>
        <w:t xml:space="preserve"> </w:t>
      </w:r>
      <w:r w:rsidRPr="001C4D3B">
        <w:rPr>
          <w:i/>
          <w:sz w:val="22"/>
          <w:szCs w:val="22"/>
          <w:lang w:val="es-ES"/>
        </w:rPr>
        <w:t>El proceso electoral y el Poder Ejecutivo en Costa Rica</w:t>
      </w:r>
      <w:r w:rsidR="004578AE">
        <w:rPr>
          <w:i/>
          <w:sz w:val="22"/>
          <w:szCs w:val="22"/>
          <w:lang w:val="es-ES"/>
        </w:rPr>
        <w:t xml:space="preserve">, </w:t>
      </w:r>
      <w:r w:rsidRPr="001C4D3B">
        <w:rPr>
          <w:sz w:val="22"/>
          <w:szCs w:val="22"/>
          <w:lang w:val="es-ES"/>
        </w:rPr>
        <w:t>San José</w:t>
      </w:r>
      <w:r w:rsidR="00824486">
        <w:rPr>
          <w:sz w:val="22"/>
          <w:szCs w:val="22"/>
          <w:lang w:val="es-ES"/>
        </w:rPr>
        <w:t>,</w:t>
      </w:r>
      <w:r w:rsidRPr="001C4D3B">
        <w:rPr>
          <w:sz w:val="22"/>
          <w:szCs w:val="22"/>
          <w:lang w:val="es-ES"/>
        </w:rPr>
        <w:t xml:space="preserve"> Editorial de la U</w:t>
      </w:r>
      <w:r>
        <w:rPr>
          <w:sz w:val="22"/>
          <w:szCs w:val="22"/>
          <w:lang w:val="es-ES"/>
        </w:rPr>
        <w:t>niversidad de Costa Rica, 2000</w:t>
      </w:r>
      <w:r w:rsidR="004578AE">
        <w:rPr>
          <w:sz w:val="22"/>
          <w:szCs w:val="22"/>
          <w:lang w:val="es-ES"/>
        </w:rPr>
        <w:t>.</w:t>
      </w:r>
    </w:p>
    <w:p w14:paraId="37F6664F" w14:textId="77777777" w:rsidR="00432DA6" w:rsidRPr="001C4D3B" w:rsidRDefault="00432DA6" w:rsidP="00DD4FC8">
      <w:pPr>
        <w:pStyle w:val="FootnoteText"/>
        <w:spacing w:line="360" w:lineRule="auto"/>
        <w:ind w:left="450" w:hanging="450"/>
        <w:jc w:val="both"/>
        <w:rPr>
          <w:sz w:val="22"/>
          <w:szCs w:val="22"/>
        </w:rPr>
      </w:pPr>
      <w:r w:rsidRPr="001C4D3B">
        <w:rPr>
          <w:sz w:val="22"/>
          <w:szCs w:val="22"/>
        </w:rPr>
        <w:t>Parker,</w:t>
      </w:r>
      <w:r>
        <w:rPr>
          <w:sz w:val="22"/>
          <w:szCs w:val="22"/>
        </w:rPr>
        <w:t xml:space="preserve"> </w:t>
      </w:r>
      <w:r w:rsidRPr="001C4D3B">
        <w:rPr>
          <w:sz w:val="22"/>
          <w:szCs w:val="22"/>
        </w:rPr>
        <w:t>Franklin D.</w:t>
      </w:r>
      <w:r>
        <w:rPr>
          <w:sz w:val="22"/>
          <w:szCs w:val="22"/>
        </w:rPr>
        <w:t>,</w:t>
      </w:r>
      <w:r w:rsidRPr="001C4D3B">
        <w:rPr>
          <w:sz w:val="22"/>
          <w:szCs w:val="22"/>
        </w:rPr>
        <w:t xml:space="preserve"> “Jose </w:t>
      </w:r>
      <w:proofErr w:type="spellStart"/>
      <w:r w:rsidRPr="001C4D3B">
        <w:rPr>
          <w:sz w:val="22"/>
          <w:szCs w:val="22"/>
        </w:rPr>
        <w:t>Cecilio</w:t>
      </w:r>
      <w:proofErr w:type="spellEnd"/>
      <w:r w:rsidRPr="001C4D3B">
        <w:rPr>
          <w:sz w:val="22"/>
          <w:szCs w:val="22"/>
        </w:rPr>
        <w:t xml:space="preserve"> del Valle: Scholar and Patriot</w:t>
      </w:r>
      <w:r w:rsidR="00FE4DCC">
        <w:rPr>
          <w:sz w:val="22"/>
          <w:szCs w:val="22"/>
        </w:rPr>
        <w:t>”,</w:t>
      </w:r>
      <w:r w:rsidRPr="001C4D3B">
        <w:rPr>
          <w:sz w:val="22"/>
          <w:szCs w:val="22"/>
        </w:rPr>
        <w:t xml:space="preserve"> </w:t>
      </w:r>
      <w:r w:rsidRPr="001C4D3B">
        <w:rPr>
          <w:i/>
          <w:sz w:val="22"/>
          <w:szCs w:val="22"/>
        </w:rPr>
        <w:t xml:space="preserve">The Hispanic American Historical </w:t>
      </w:r>
      <w:r w:rsidRPr="00824486">
        <w:rPr>
          <w:sz w:val="22"/>
          <w:szCs w:val="22"/>
        </w:rPr>
        <w:t>Review</w:t>
      </w:r>
      <w:r w:rsidR="00824486">
        <w:rPr>
          <w:sz w:val="22"/>
          <w:szCs w:val="22"/>
        </w:rPr>
        <w:t xml:space="preserve">, </w:t>
      </w:r>
      <w:r w:rsidRPr="00824486">
        <w:rPr>
          <w:sz w:val="22"/>
          <w:szCs w:val="22"/>
        </w:rPr>
        <w:t>32</w:t>
      </w:r>
      <w:r w:rsidR="00824486">
        <w:rPr>
          <w:sz w:val="22"/>
          <w:szCs w:val="22"/>
        </w:rPr>
        <w:t>:</w:t>
      </w:r>
      <w:r w:rsidRPr="001C4D3B">
        <w:rPr>
          <w:sz w:val="22"/>
          <w:szCs w:val="22"/>
        </w:rPr>
        <w:t xml:space="preserve"> 4 (</w:t>
      </w:r>
      <w:r w:rsidR="00824486">
        <w:rPr>
          <w:sz w:val="22"/>
          <w:szCs w:val="22"/>
        </w:rPr>
        <w:t xml:space="preserve">Durham, NC, </w:t>
      </w:r>
      <w:r w:rsidRPr="001C4D3B">
        <w:rPr>
          <w:sz w:val="22"/>
          <w:szCs w:val="22"/>
        </w:rPr>
        <w:t xml:space="preserve">1952): 533-4.  </w:t>
      </w:r>
    </w:p>
    <w:p w14:paraId="02BFAECF" w14:textId="77777777" w:rsidR="00F23512" w:rsidRPr="00936C95" w:rsidRDefault="00AA3DAA" w:rsidP="00F23512">
      <w:pPr>
        <w:pStyle w:val="FootnoteText"/>
        <w:spacing w:line="360" w:lineRule="auto"/>
        <w:ind w:left="450" w:hanging="450"/>
        <w:rPr>
          <w:sz w:val="22"/>
          <w:szCs w:val="22"/>
        </w:rPr>
      </w:pPr>
      <w:proofErr w:type="spellStart"/>
      <w:r w:rsidRPr="00936C95">
        <w:rPr>
          <w:sz w:val="22"/>
          <w:szCs w:val="22"/>
        </w:rPr>
        <w:t>Piccato</w:t>
      </w:r>
      <w:proofErr w:type="spellEnd"/>
      <w:r w:rsidRPr="00936C95">
        <w:rPr>
          <w:sz w:val="22"/>
          <w:szCs w:val="22"/>
        </w:rPr>
        <w:t xml:space="preserve">, Pablo, </w:t>
      </w:r>
      <w:r w:rsidR="00F23512" w:rsidRPr="00936C95">
        <w:rPr>
          <w:sz w:val="22"/>
          <w:szCs w:val="22"/>
        </w:rPr>
        <w:t xml:space="preserve">“HIST G8911, Spring 2010, Graduate Colloquium: Histories of the Public Sphere in Latin America,” Department of History, Columbia University,  </w:t>
      </w:r>
      <w:proofErr w:type="spellStart"/>
      <w:r w:rsidR="00F23512" w:rsidRPr="00936C95">
        <w:rPr>
          <w:sz w:val="22"/>
          <w:szCs w:val="22"/>
        </w:rPr>
        <w:t>accesible</w:t>
      </w:r>
      <w:proofErr w:type="spellEnd"/>
      <w:r w:rsidR="00F23512" w:rsidRPr="00936C95">
        <w:rPr>
          <w:sz w:val="22"/>
          <w:szCs w:val="22"/>
        </w:rPr>
        <w:t xml:space="preserve"> </w:t>
      </w:r>
      <w:proofErr w:type="spellStart"/>
      <w:r w:rsidR="00F23512" w:rsidRPr="00936C95">
        <w:rPr>
          <w:sz w:val="22"/>
          <w:szCs w:val="22"/>
        </w:rPr>
        <w:t>en</w:t>
      </w:r>
      <w:proofErr w:type="spellEnd"/>
      <w:r w:rsidR="00F23512" w:rsidRPr="00936C95">
        <w:rPr>
          <w:sz w:val="22"/>
          <w:szCs w:val="22"/>
        </w:rPr>
        <w:t xml:space="preserve"> </w:t>
      </w:r>
      <w:hyperlink r:id="rId11" w:history="1">
        <w:r w:rsidR="00F23512" w:rsidRPr="00936C95">
          <w:rPr>
            <w:rStyle w:val="Hyperlink"/>
            <w:sz w:val="22"/>
            <w:szCs w:val="22"/>
          </w:rPr>
          <w:t>http://www.columbia.edu/~pp143/publicsphereinLA2.pdf</w:t>
        </w:r>
      </w:hyperlink>
    </w:p>
    <w:p w14:paraId="0EA1E0F7" w14:textId="77777777" w:rsidR="00432DA6" w:rsidRPr="00936C95" w:rsidRDefault="00432DA6" w:rsidP="00151647">
      <w:pPr>
        <w:pStyle w:val="FootnoteText"/>
        <w:spacing w:line="360" w:lineRule="auto"/>
        <w:ind w:left="450" w:hanging="450"/>
        <w:jc w:val="both"/>
        <w:rPr>
          <w:sz w:val="22"/>
          <w:szCs w:val="22"/>
          <w:lang w:val="es-ES"/>
        </w:rPr>
      </w:pPr>
      <w:r w:rsidRPr="00151647">
        <w:rPr>
          <w:sz w:val="22"/>
          <w:szCs w:val="22"/>
          <w:lang w:val="es-ES"/>
        </w:rPr>
        <w:t>Pinto Soria, Julio</w:t>
      </w:r>
      <w:r w:rsidR="00151647">
        <w:rPr>
          <w:sz w:val="22"/>
          <w:szCs w:val="22"/>
          <w:lang w:val="es-ES"/>
        </w:rPr>
        <w:t xml:space="preserve"> César, </w:t>
      </w:r>
      <w:r w:rsidR="00151647" w:rsidRPr="00936C95">
        <w:rPr>
          <w:i/>
          <w:sz w:val="22"/>
          <w:szCs w:val="22"/>
          <w:lang w:val="es-ES"/>
        </w:rPr>
        <w:t>Centroamérica, de la colonia al Estado nacional, 1800-1840</w:t>
      </w:r>
      <w:r w:rsidR="00151647" w:rsidRPr="00936C95">
        <w:rPr>
          <w:sz w:val="22"/>
          <w:szCs w:val="22"/>
          <w:lang w:val="es-ES"/>
        </w:rPr>
        <w:t>, Guatemala, Editorial Universitaria de Guatemala, 1986.</w:t>
      </w:r>
    </w:p>
    <w:p w14:paraId="73402C30" w14:textId="77777777" w:rsidR="00432DA6" w:rsidRPr="00824486" w:rsidRDefault="00432DA6" w:rsidP="00DD4FC8">
      <w:pPr>
        <w:pStyle w:val="FootnoteText"/>
        <w:spacing w:line="360" w:lineRule="auto"/>
        <w:ind w:left="450" w:hanging="450"/>
        <w:jc w:val="both"/>
        <w:rPr>
          <w:sz w:val="22"/>
          <w:szCs w:val="22"/>
          <w:lang w:val="es-ES"/>
        </w:rPr>
      </w:pPr>
      <w:r w:rsidRPr="001C4D3B">
        <w:rPr>
          <w:sz w:val="22"/>
          <w:szCs w:val="22"/>
          <w:lang w:val="es-ES"/>
        </w:rPr>
        <w:t>Pinto Soria,</w:t>
      </w:r>
      <w:r>
        <w:rPr>
          <w:sz w:val="22"/>
          <w:szCs w:val="22"/>
          <w:lang w:val="es-ES"/>
        </w:rPr>
        <w:t xml:space="preserve"> </w:t>
      </w:r>
      <w:r w:rsidRPr="001C4D3B">
        <w:rPr>
          <w:sz w:val="22"/>
          <w:szCs w:val="22"/>
          <w:lang w:val="es-ES"/>
        </w:rPr>
        <w:t>Julio César</w:t>
      </w:r>
      <w:r>
        <w:rPr>
          <w:sz w:val="22"/>
          <w:szCs w:val="22"/>
          <w:lang w:val="es-ES"/>
        </w:rPr>
        <w:t>,</w:t>
      </w:r>
      <w:r w:rsidRPr="001C4D3B">
        <w:rPr>
          <w:b/>
          <w:bCs/>
          <w:sz w:val="22"/>
          <w:szCs w:val="22"/>
          <w:lang w:val="es-ES"/>
        </w:rPr>
        <w:t xml:space="preserve"> </w:t>
      </w:r>
      <w:r w:rsidRPr="001C4D3B">
        <w:rPr>
          <w:sz w:val="22"/>
          <w:szCs w:val="22"/>
          <w:lang w:val="es-ES"/>
        </w:rPr>
        <w:t>“Reformismo liberal, régimen municipal, ciudadanía y conflicto étnico en Guatemala (1821-1824)</w:t>
      </w:r>
      <w:r w:rsidR="00FE4DCC">
        <w:rPr>
          <w:sz w:val="22"/>
          <w:szCs w:val="22"/>
          <w:lang w:val="es-ES"/>
        </w:rPr>
        <w:t>”,</w:t>
      </w:r>
      <w:r w:rsidRPr="001C4D3B">
        <w:rPr>
          <w:sz w:val="22"/>
          <w:szCs w:val="22"/>
          <w:lang w:val="es-ES"/>
        </w:rPr>
        <w:t xml:space="preserve"> </w:t>
      </w:r>
      <w:r w:rsidRPr="001C4D3B">
        <w:rPr>
          <w:i/>
          <w:iCs/>
          <w:sz w:val="22"/>
          <w:szCs w:val="22"/>
          <w:lang w:val="es-ES"/>
        </w:rPr>
        <w:t>CEUR</w:t>
      </w:r>
      <w:r w:rsidR="00824486">
        <w:rPr>
          <w:i/>
          <w:iCs/>
          <w:sz w:val="22"/>
          <w:szCs w:val="22"/>
          <w:lang w:val="es-ES"/>
        </w:rPr>
        <w:t xml:space="preserve">, </w:t>
      </w:r>
      <w:r w:rsidR="00824486">
        <w:rPr>
          <w:iCs/>
          <w:sz w:val="22"/>
          <w:szCs w:val="22"/>
          <w:lang w:val="es-ES"/>
        </w:rPr>
        <w:t xml:space="preserve">32 (Guatemala, marzo </w:t>
      </w:r>
      <w:r w:rsidRPr="001C4D3B">
        <w:rPr>
          <w:sz w:val="22"/>
          <w:szCs w:val="22"/>
          <w:lang w:val="es-ES"/>
        </w:rPr>
        <w:t>1997)</w:t>
      </w:r>
      <w:r w:rsidR="00824486">
        <w:rPr>
          <w:bCs/>
          <w:sz w:val="22"/>
          <w:szCs w:val="22"/>
          <w:lang w:val="es-ES"/>
        </w:rPr>
        <w:t>.</w:t>
      </w:r>
    </w:p>
    <w:p w14:paraId="7FEC10B7" w14:textId="77777777" w:rsidR="000A546A" w:rsidRPr="00936C95" w:rsidRDefault="00AF186B" w:rsidP="00DD4FC8">
      <w:pPr>
        <w:autoSpaceDE w:val="0"/>
        <w:autoSpaceDN w:val="0"/>
        <w:adjustRightInd w:val="0"/>
        <w:spacing w:line="360" w:lineRule="auto"/>
        <w:ind w:left="450" w:hanging="450"/>
        <w:jc w:val="both"/>
        <w:rPr>
          <w:sz w:val="22"/>
          <w:szCs w:val="22"/>
        </w:rPr>
      </w:pPr>
      <w:r w:rsidRPr="00936C95">
        <w:rPr>
          <w:sz w:val="22"/>
          <w:szCs w:val="22"/>
        </w:rPr>
        <w:lastRenderedPageBreak/>
        <w:t>Posada-</w:t>
      </w:r>
      <w:proofErr w:type="spellStart"/>
      <w:r w:rsidRPr="00936C95">
        <w:rPr>
          <w:sz w:val="22"/>
          <w:szCs w:val="22"/>
        </w:rPr>
        <w:t>Carbó</w:t>
      </w:r>
      <w:proofErr w:type="spellEnd"/>
      <w:r w:rsidRPr="00936C95">
        <w:rPr>
          <w:sz w:val="22"/>
          <w:szCs w:val="22"/>
        </w:rPr>
        <w:t xml:space="preserve">, Eduardo, </w:t>
      </w:r>
      <w:r w:rsidRPr="00936C95">
        <w:rPr>
          <w:i/>
          <w:sz w:val="22"/>
          <w:szCs w:val="22"/>
        </w:rPr>
        <w:t xml:space="preserve">Elections before Democracy: The </w:t>
      </w:r>
      <w:proofErr w:type="spellStart"/>
      <w:r w:rsidRPr="00936C95">
        <w:rPr>
          <w:i/>
          <w:sz w:val="22"/>
          <w:szCs w:val="22"/>
        </w:rPr>
        <w:t>HIstory</w:t>
      </w:r>
      <w:proofErr w:type="spellEnd"/>
      <w:r w:rsidRPr="00936C95">
        <w:rPr>
          <w:i/>
          <w:sz w:val="22"/>
          <w:szCs w:val="22"/>
        </w:rPr>
        <w:t xml:space="preserve"> of Elections in Europe and Latin America, </w:t>
      </w:r>
      <w:r w:rsidR="000A546A" w:rsidRPr="00936C95">
        <w:rPr>
          <w:sz w:val="22"/>
          <w:szCs w:val="22"/>
        </w:rPr>
        <w:t>London, MacMillan Press, 1996</w:t>
      </w:r>
    </w:p>
    <w:p w14:paraId="1E4A303F" w14:textId="77777777" w:rsidR="00432DA6" w:rsidRDefault="00432DA6" w:rsidP="00DD4FC8">
      <w:pPr>
        <w:autoSpaceDE w:val="0"/>
        <w:autoSpaceDN w:val="0"/>
        <w:adjustRightInd w:val="0"/>
        <w:spacing w:line="360" w:lineRule="auto"/>
        <w:ind w:left="450" w:hanging="450"/>
        <w:jc w:val="both"/>
        <w:rPr>
          <w:sz w:val="22"/>
          <w:szCs w:val="22"/>
          <w:lang w:val="es-ES"/>
        </w:rPr>
      </w:pPr>
      <w:r w:rsidRPr="006028E0">
        <w:rPr>
          <w:sz w:val="22"/>
          <w:szCs w:val="22"/>
          <w:lang w:val="es-ES"/>
        </w:rPr>
        <w:t>Quijada,</w:t>
      </w:r>
      <w:r>
        <w:rPr>
          <w:sz w:val="22"/>
          <w:szCs w:val="22"/>
          <w:lang w:val="es-ES"/>
        </w:rPr>
        <w:t xml:space="preserve"> </w:t>
      </w:r>
      <w:r w:rsidRPr="006028E0">
        <w:rPr>
          <w:sz w:val="22"/>
          <w:szCs w:val="22"/>
          <w:lang w:val="es-ES"/>
        </w:rPr>
        <w:t>Mónica</w:t>
      </w:r>
      <w:r>
        <w:rPr>
          <w:sz w:val="22"/>
          <w:szCs w:val="22"/>
          <w:lang w:val="es-ES"/>
        </w:rPr>
        <w:t>,</w:t>
      </w:r>
      <w:r w:rsidRPr="006028E0">
        <w:rPr>
          <w:sz w:val="22"/>
          <w:szCs w:val="22"/>
          <w:lang w:val="es-ES"/>
        </w:rPr>
        <w:t xml:space="preserve"> “Las ‘dos tradiciones’. Soberanía popular e imaginarios compartidos en el mundo hispánico en la época de las grandes revoluciones atlánticas</w:t>
      </w:r>
      <w:r w:rsidR="00FE4DCC">
        <w:rPr>
          <w:sz w:val="22"/>
          <w:szCs w:val="22"/>
          <w:lang w:val="es-ES"/>
        </w:rPr>
        <w:t>”,</w:t>
      </w:r>
      <w:r w:rsidRPr="006028E0">
        <w:rPr>
          <w:sz w:val="22"/>
          <w:szCs w:val="22"/>
          <w:lang w:val="es-ES"/>
        </w:rPr>
        <w:t xml:space="preserve"> en Jaime E. Rodríguez O.</w:t>
      </w:r>
      <w:r w:rsidR="00824486">
        <w:rPr>
          <w:sz w:val="22"/>
          <w:szCs w:val="22"/>
          <w:lang w:val="es-ES"/>
        </w:rPr>
        <w:t xml:space="preserve"> (ed.)</w:t>
      </w:r>
      <w:r w:rsidRPr="006028E0">
        <w:rPr>
          <w:sz w:val="22"/>
          <w:szCs w:val="22"/>
          <w:lang w:val="es-ES"/>
        </w:rPr>
        <w:t xml:space="preserve">, </w:t>
      </w:r>
      <w:r w:rsidRPr="006028E0">
        <w:rPr>
          <w:i/>
          <w:sz w:val="22"/>
          <w:szCs w:val="22"/>
          <w:lang w:val="es-ES"/>
        </w:rPr>
        <w:t>Revolución, independencia y las nuevas naciones de América</w:t>
      </w:r>
      <w:r w:rsidR="00824486">
        <w:rPr>
          <w:sz w:val="22"/>
          <w:szCs w:val="22"/>
          <w:lang w:val="es-ES"/>
        </w:rPr>
        <w:t xml:space="preserve">, </w:t>
      </w:r>
      <w:r w:rsidRPr="006028E0">
        <w:rPr>
          <w:sz w:val="22"/>
          <w:szCs w:val="22"/>
          <w:lang w:val="es-ES"/>
        </w:rPr>
        <w:t>Madrid, Fundaci</w:t>
      </w:r>
      <w:r>
        <w:rPr>
          <w:sz w:val="22"/>
          <w:szCs w:val="22"/>
          <w:lang w:val="es-ES"/>
        </w:rPr>
        <w:t>ón MAPFRE-Tavera, 2005, 61-86</w:t>
      </w:r>
      <w:r w:rsidR="005C4630">
        <w:rPr>
          <w:sz w:val="22"/>
          <w:szCs w:val="22"/>
          <w:lang w:val="es-ES"/>
        </w:rPr>
        <w:t>.</w:t>
      </w:r>
    </w:p>
    <w:p w14:paraId="1F29ACCB" w14:textId="77777777" w:rsidR="00432DA6" w:rsidRPr="00E45818" w:rsidRDefault="00432DA6" w:rsidP="00DD4FC8">
      <w:pPr>
        <w:pStyle w:val="FootnoteText"/>
        <w:spacing w:line="360" w:lineRule="auto"/>
        <w:ind w:left="450" w:hanging="450"/>
        <w:jc w:val="both"/>
        <w:rPr>
          <w:sz w:val="22"/>
          <w:szCs w:val="22"/>
          <w:lang w:val="es-ES_tradnl"/>
        </w:rPr>
      </w:pPr>
      <w:r w:rsidRPr="001C4D3B">
        <w:rPr>
          <w:i/>
          <w:sz w:val="22"/>
          <w:szCs w:val="22"/>
          <w:lang w:val="es-ES"/>
        </w:rPr>
        <w:t>Recopilación de las leyes, decretos y acuerdos ejecutivos de la republica de Nicaragua en Centro-</w:t>
      </w:r>
      <w:r w:rsidR="00824486" w:rsidRPr="001C4D3B">
        <w:rPr>
          <w:i/>
          <w:sz w:val="22"/>
          <w:szCs w:val="22"/>
          <w:lang w:val="es-ES"/>
        </w:rPr>
        <w:t>América</w:t>
      </w:r>
      <w:r w:rsidRPr="001C4D3B">
        <w:rPr>
          <w:i/>
          <w:sz w:val="22"/>
          <w:szCs w:val="22"/>
          <w:lang w:val="es-ES"/>
        </w:rPr>
        <w:t>…</w:t>
      </w:r>
      <w:r w:rsidR="00824486">
        <w:rPr>
          <w:i/>
          <w:sz w:val="22"/>
          <w:szCs w:val="22"/>
          <w:lang w:val="es-ES"/>
        </w:rPr>
        <w:t xml:space="preserve">, </w:t>
      </w:r>
      <w:r w:rsidRPr="001C4D3B">
        <w:rPr>
          <w:iCs/>
          <w:sz w:val="22"/>
          <w:szCs w:val="22"/>
          <w:lang w:val="es-ES"/>
        </w:rPr>
        <w:t>Managua</w:t>
      </w:r>
      <w:r w:rsidR="00824486">
        <w:rPr>
          <w:iCs/>
          <w:sz w:val="22"/>
          <w:szCs w:val="22"/>
          <w:lang w:val="es-ES"/>
        </w:rPr>
        <w:t>,</w:t>
      </w:r>
      <w:r w:rsidRPr="001C4D3B">
        <w:rPr>
          <w:iCs/>
          <w:sz w:val="22"/>
          <w:szCs w:val="22"/>
          <w:lang w:val="es-ES"/>
        </w:rPr>
        <w:t xml:space="preserve"> Imprenta del Gobierno, 1867</w:t>
      </w:r>
      <w:r w:rsidR="00824486">
        <w:rPr>
          <w:iCs/>
          <w:sz w:val="22"/>
          <w:szCs w:val="22"/>
          <w:lang w:val="es-ES"/>
        </w:rPr>
        <w:t>.</w:t>
      </w:r>
    </w:p>
    <w:p w14:paraId="1CD69B4D" w14:textId="77777777" w:rsidR="00432DA6" w:rsidRDefault="00432DA6" w:rsidP="00DD4FC8">
      <w:pPr>
        <w:autoSpaceDE w:val="0"/>
        <w:autoSpaceDN w:val="0"/>
        <w:adjustRightInd w:val="0"/>
        <w:spacing w:line="360" w:lineRule="auto"/>
        <w:ind w:left="450" w:hanging="450"/>
        <w:jc w:val="both"/>
        <w:rPr>
          <w:sz w:val="22"/>
          <w:szCs w:val="22"/>
          <w:lang w:val="es-ES"/>
        </w:rPr>
      </w:pPr>
      <w:r w:rsidRPr="006028E0">
        <w:rPr>
          <w:sz w:val="22"/>
          <w:szCs w:val="22"/>
          <w:lang w:val="es-ES"/>
        </w:rPr>
        <w:t>Rodríguez O.,</w:t>
      </w:r>
      <w:r>
        <w:rPr>
          <w:sz w:val="22"/>
          <w:szCs w:val="22"/>
          <w:lang w:val="es-ES"/>
        </w:rPr>
        <w:t xml:space="preserve"> </w:t>
      </w:r>
      <w:r w:rsidRPr="006028E0">
        <w:rPr>
          <w:sz w:val="22"/>
          <w:szCs w:val="22"/>
          <w:lang w:val="es-ES"/>
        </w:rPr>
        <w:t>Jaime E.</w:t>
      </w:r>
      <w:r>
        <w:rPr>
          <w:sz w:val="22"/>
          <w:szCs w:val="22"/>
          <w:lang w:val="es-ES"/>
        </w:rPr>
        <w:t>,</w:t>
      </w:r>
      <w:r w:rsidRPr="006028E0">
        <w:rPr>
          <w:sz w:val="22"/>
          <w:szCs w:val="22"/>
          <w:lang w:val="es-ES"/>
        </w:rPr>
        <w:t xml:space="preserve"> </w:t>
      </w:r>
      <w:r w:rsidRPr="006028E0">
        <w:rPr>
          <w:i/>
          <w:sz w:val="22"/>
          <w:szCs w:val="22"/>
          <w:lang w:val="es-ES"/>
        </w:rPr>
        <w:t>La independencia de la América Española</w:t>
      </w:r>
      <w:r w:rsidR="00824486">
        <w:rPr>
          <w:sz w:val="22"/>
          <w:szCs w:val="22"/>
          <w:lang w:val="es-ES"/>
        </w:rPr>
        <w:t xml:space="preserve">, </w:t>
      </w:r>
      <w:r w:rsidRPr="006028E0">
        <w:rPr>
          <w:sz w:val="22"/>
          <w:szCs w:val="22"/>
          <w:lang w:val="es-ES"/>
        </w:rPr>
        <w:t>México</w:t>
      </w:r>
      <w:r w:rsidR="00824486">
        <w:rPr>
          <w:sz w:val="22"/>
          <w:szCs w:val="22"/>
          <w:lang w:val="es-ES"/>
        </w:rPr>
        <w:t>,</w:t>
      </w:r>
      <w:r w:rsidRPr="006028E0">
        <w:rPr>
          <w:sz w:val="22"/>
          <w:szCs w:val="22"/>
          <w:lang w:val="es-ES"/>
        </w:rPr>
        <w:t xml:space="preserve"> El Colegio de Mé</w:t>
      </w:r>
      <w:r>
        <w:rPr>
          <w:sz w:val="22"/>
          <w:szCs w:val="22"/>
          <w:lang w:val="es-ES"/>
        </w:rPr>
        <w:t>xico, 1994</w:t>
      </w:r>
      <w:r w:rsidR="00824486">
        <w:rPr>
          <w:sz w:val="22"/>
          <w:szCs w:val="22"/>
          <w:lang w:val="es-ES"/>
        </w:rPr>
        <w:t>.</w:t>
      </w:r>
    </w:p>
    <w:p w14:paraId="70108B3F" w14:textId="77777777" w:rsidR="00432DA6" w:rsidRDefault="00432DA6" w:rsidP="00DD4FC8">
      <w:pPr>
        <w:autoSpaceDE w:val="0"/>
        <w:autoSpaceDN w:val="0"/>
        <w:adjustRightInd w:val="0"/>
        <w:spacing w:line="360" w:lineRule="auto"/>
        <w:ind w:left="450" w:hanging="450"/>
        <w:jc w:val="both"/>
        <w:rPr>
          <w:sz w:val="22"/>
          <w:szCs w:val="22"/>
        </w:rPr>
      </w:pPr>
      <w:r w:rsidRPr="002E1A0F">
        <w:rPr>
          <w:sz w:val="22"/>
          <w:szCs w:val="22"/>
        </w:rPr>
        <w:t>Rodríguez O.,</w:t>
      </w:r>
      <w:r>
        <w:rPr>
          <w:sz w:val="22"/>
          <w:szCs w:val="22"/>
        </w:rPr>
        <w:t xml:space="preserve"> </w:t>
      </w:r>
      <w:r w:rsidRPr="002E1A0F">
        <w:rPr>
          <w:sz w:val="22"/>
          <w:szCs w:val="22"/>
        </w:rPr>
        <w:t>Jaime E.</w:t>
      </w:r>
      <w:r>
        <w:rPr>
          <w:sz w:val="22"/>
          <w:szCs w:val="22"/>
        </w:rPr>
        <w:t>,</w:t>
      </w:r>
      <w:r w:rsidRPr="002E1A0F">
        <w:rPr>
          <w:sz w:val="22"/>
          <w:szCs w:val="22"/>
        </w:rPr>
        <w:t xml:space="preserve"> </w:t>
      </w:r>
      <w:r w:rsidRPr="002E1A0F">
        <w:rPr>
          <w:rFonts w:eastAsia="Times New Roman"/>
          <w:i/>
          <w:sz w:val="22"/>
          <w:szCs w:val="22"/>
        </w:rPr>
        <w:t>Political Culture in Spanish America, 1500–1830</w:t>
      </w:r>
      <w:r w:rsidR="00824486">
        <w:rPr>
          <w:sz w:val="22"/>
          <w:szCs w:val="22"/>
        </w:rPr>
        <w:t xml:space="preserve">, </w:t>
      </w:r>
      <w:r w:rsidRPr="002E1A0F">
        <w:rPr>
          <w:rFonts w:eastAsia="Times New Roman"/>
          <w:sz w:val="22"/>
          <w:szCs w:val="22"/>
        </w:rPr>
        <w:t xml:space="preserve">Lincoln: </w:t>
      </w:r>
      <w:r w:rsidR="00824486">
        <w:rPr>
          <w:sz w:val="22"/>
          <w:szCs w:val="22"/>
        </w:rPr>
        <w:t>University of Nebraska Press, 2015.</w:t>
      </w:r>
      <w:r w:rsidRPr="002E1A0F">
        <w:rPr>
          <w:sz w:val="22"/>
          <w:szCs w:val="22"/>
        </w:rPr>
        <w:t xml:space="preserve"> </w:t>
      </w:r>
    </w:p>
    <w:p w14:paraId="45BAEB85" w14:textId="77777777" w:rsidR="00432DA6" w:rsidRPr="00045E81" w:rsidRDefault="00432DA6" w:rsidP="00DD4FC8">
      <w:pPr>
        <w:pStyle w:val="FootnoteText"/>
        <w:spacing w:line="360" w:lineRule="auto"/>
        <w:ind w:left="450" w:hanging="450"/>
        <w:jc w:val="both"/>
        <w:rPr>
          <w:sz w:val="22"/>
          <w:szCs w:val="22"/>
        </w:rPr>
      </w:pPr>
      <w:r w:rsidRPr="00936C95">
        <w:rPr>
          <w:sz w:val="22"/>
          <w:szCs w:val="22"/>
        </w:rPr>
        <w:t>Rodríguez, Mario</w:t>
      </w:r>
      <w:r w:rsidR="00045E81" w:rsidRPr="00936C95">
        <w:rPr>
          <w:sz w:val="22"/>
          <w:szCs w:val="22"/>
        </w:rPr>
        <w:t xml:space="preserve">, </w:t>
      </w:r>
      <w:r w:rsidR="00045E81" w:rsidRPr="00045E81">
        <w:rPr>
          <w:i/>
          <w:sz w:val="22"/>
          <w:szCs w:val="22"/>
        </w:rPr>
        <w:t xml:space="preserve">The </w:t>
      </w:r>
      <w:r w:rsidR="00045E81" w:rsidRPr="00045E81">
        <w:rPr>
          <w:bCs/>
          <w:i/>
          <w:sz w:val="22"/>
          <w:szCs w:val="22"/>
        </w:rPr>
        <w:t>Cádiz</w:t>
      </w:r>
      <w:r w:rsidR="00045E81" w:rsidRPr="00045E81">
        <w:rPr>
          <w:i/>
          <w:sz w:val="22"/>
          <w:szCs w:val="22"/>
        </w:rPr>
        <w:t xml:space="preserve"> </w:t>
      </w:r>
      <w:r w:rsidR="00045E81" w:rsidRPr="00045E81">
        <w:rPr>
          <w:bCs/>
          <w:i/>
          <w:sz w:val="22"/>
          <w:szCs w:val="22"/>
        </w:rPr>
        <w:t>Experiment</w:t>
      </w:r>
      <w:r w:rsidR="00045E81" w:rsidRPr="00045E81">
        <w:rPr>
          <w:i/>
          <w:sz w:val="22"/>
          <w:szCs w:val="22"/>
        </w:rPr>
        <w:t xml:space="preserve"> in Central America, 1808 to 1826</w:t>
      </w:r>
      <w:r w:rsidR="00045E81" w:rsidRPr="00045E81">
        <w:rPr>
          <w:sz w:val="22"/>
          <w:szCs w:val="22"/>
        </w:rPr>
        <w:t>, Berkeley, The University of California Press, 1978</w:t>
      </w:r>
      <w:r w:rsidR="00045E81">
        <w:rPr>
          <w:sz w:val="22"/>
          <w:szCs w:val="22"/>
        </w:rPr>
        <w:t>,</w:t>
      </w:r>
    </w:p>
    <w:p w14:paraId="2EEA1C11" w14:textId="77777777" w:rsidR="00432DA6" w:rsidRPr="001C4D3B" w:rsidRDefault="00432DA6" w:rsidP="00DD4FC8">
      <w:pPr>
        <w:spacing w:line="360" w:lineRule="auto"/>
        <w:ind w:left="450" w:hanging="450"/>
        <w:jc w:val="both"/>
        <w:rPr>
          <w:sz w:val="22"/>
          <w:szCs w:val="22"/>
          <w:lang w:val="es-ES"/>
        </w:rPr>
      </w:pPr>
      <w:proofErr w:type="spellStart"/>
      <w:r w:rsidRPr="001C4D3B">
        <w:rPr>
          <w:rStyle w:val="FootnoteTextChar1"/>
          <w:sz w:val="22"/>
          <w:szCs w:val="22"/>
          <w:lang w:val="es-ES"/>
        </w:rPr>
        <w:t>Sabato</w:t>
      </w:r>
      <w:proofErr w:type="spellEnd"/>
      <w:r w:rsidRPr="001C4D3B">
        <w:rPr>
          <w:rStyle w:val="FootnoteTextChar1"/>
          <w:sz w:val="22"/>
          <w:szCs w:val="22"/>
          <w:lang w:val="es-ES"/>
        </w:rPr>
        <w:t>,</w:t>
      </w:r>
      <w:r>
        <w:rPr>
          <w:rStyle w:val="FootnoteTextChar1"/>
          <w:sz w:val="22"/>
          <w:szCs w:val="22"/>
          <w:lang w:val="es-ES"/>
        </w:rPr>
        <w:t xml:space="preserve"> </w:t>
      </w:r>
      <w:r w:rsidRPr="001C4D3B">
        <w:rPr>
          <w:rStyle w:val="FootnoteTextChar1"/>
          <w:sz w:val="22"/>
          <w:szCs w:val="22"/>
          <w:lang w:val="es-ES"/>
        </w:rPr>
        <w:t>Hilda</w:t>
      </w:r>
      <w:r>
        <w:rPr>
          <w:rStyle w:val="FootnoteTextChar1"/>
          <w:sz w:val="22"/>
          <w:szCs w:val="22"/>
          <w:lang w:val="es-ES"/>
        </w:rPr>
        <w:t>,</w:t>
      </w:r>
      <w:r w:rsidRPr="001C4D3B">
        <w:rPr>
          <w:rStyle w:val="FootnoteTextChar1"/>
          <w:sz w:val="22"/>
          <w:szCs w:val="22"/>
          <w:lang w:val="es-ES"/>
        </w:rPr>
        <w:t xml:space="preserve"> “La reacción de América: la construcción de las repúblicas en el siglo XIX”</w:t>
      </w:r>
      <w:r w:rsidR="00824486">
        <w:rPr>
          <w:rStyle w:val="FootnoteTextChar1"/>
          <w:sz w:val="22"/>
          <w:szCs w:val="22"/>
          <w:lang w:val="es-ES"/>
        </w:rPr>
        <w:t xml:space="preserve">, </w:t>
      </w:r>
      <w:r w:rsidRPr="001C4D3B">
        <w:rPr>
          <w:rStyle w:val="FootnoteTextChar1"/>
          <w:sz w:val="22"/>
          <w:szCs w:val="22"/>
          <w:lang w:val="es-ES"/>
        </w:rPr>
        <w:t xml:space="preserve">Roger </w:t>
      </w:r>
      <w:proofErr w:type="spellStart"/>
      <w:r w:rsidRPr="001C4D3B">
        <w:rPr>
          <w:rStyle w:val="FootnoteTextChar1"/>
          <w:sz w:val="22"/>
          <w:szCs w:val="22"/>
          <w:lang w:val="es-ES"/>
        </w:rPr>
        <w:t>Chartier</w:t>
      </w:r>
      <w:proofErr w:type="spellEnd"/>
      <w:r w:rsidRPr="001C4D3B">
        <w:rPr>
          <w:rStyle w:val="FootnoteTextChar1"/>
          <w:sz w:val="22"/>
          <w:szCs w:val="22"/>
          <w:lang w:val="es-ES"/>
        </w:rPr>
        <w:t xml:space="preserve"> </w:t>
      </w:r>
      <w:r w:rsidR="00824486">
        <w:rPr>
          <w:rStyle w:val="FootnoteTextChar1"/>
          <w:sz w:val="22"/>
          <w:szCs w:val="22"/>
          <w:lang w:val="es-ES"/>
        </w:rPr>
        <w:t>y</w:t>
      </w:r>
      <w:r w:rsidRPr="001C4D3B">
        <w:rPr>
          <w:rStyle w:val="FootnoteTextChar1"/>
          <w:sz w:val="22"/>
          <w:szCs w:val="22"/>
          <w:lang w:val="es-ES"/>
        </w:rPr>
        <w:t xml:space="preserve"> Antonio </w:t>
      </w:r>
      <w:proofErr w:type="spellStart"/>
      <w:r w:rsidRPr="001C4D3B">
        <w:rPr>
          <w:rStyle w:val="FootnoteTextChar1"/>
          <w:sz w:val="22"/>
          <w:szCs w:val="22"/>
          <w:lang w:val="es-ES"/>
        </w:rPr>
        <w:t>Feros</w:t>
      </w:r>
      <w:proofErr w:type="spellEnd"/>
      <w:r w:rsidRPr="001C4D3B">
        <w:rPr>
          <w:rStyle w:val="FootnoteTextChar1"/>
          <w:sz w:val="22"/>
          <w:szCs w:val="22"/>
          <w:lang w:val="es-ES"/>
        </w:rPr>
        <w:t xml:space="preserve"> (eds.), </w:t>
      </w:r>
      <w:r w:rsidRPr="001C4D3B">
        <w:rPr>
          <w:rStyle w:val="FootnoteTextChar1"/>
          <w:i/>
          <w:sz w:val="22"/>
          <w:szCs w:val="22"/>
          <w:lang w:val="es-ES"/>
        </w:rPr>
        <w:t>Europa, América y el mundo: Tiempos históricos</w:t>
      </w:r>
      <w:r w:rsidR="00824486">
        <w:rPr>
          <w:rStyle w:val="FootnoteTextChar1"/>
          <w:sz w:val="22"/>
          <w:szCs w:val="22"/>
          <w:lang w:val="es-ES"/>
        </w:rPr>
        <w:t xml:space="preserve">, </w:t>
      </w:r>
      <w:r w:rsidRPr="001C4D3B">
        <w:rPr>
          <w:rStyle w:val="FootnoteTextChar1"/>
          <w:sz w:val="22"/>
          <w:szCs w:val="22"/>
          <w:lang w:val="es-ES"/>
        </w:rPr>
        <w:t>Madrid: Funda</w:t>
      </w:r>
      <w:r>
        <w:rPr>
          <w:rStyle w:val="FootnoteTextChar1"/>
          <w:sz w:val="22"/>
          <w:szCs w:val="22"/>
          <w:lang w:val="es-ES"/>
        </w:rPr>
        <w:t>ción Rafael del Pino, 2006</w:t>
      </w:r>
      <w:r w:rsidRPr="001C4D3B">
        <w:rPr>
          <w:rStyle w:val="FootnoteTextChar1"/>
          <w:sz w:val="22"/>
          <w:szCs w:val="22"/>
          <w:lang w:val="es-ES"/>
        </w:rPr>
        <w:t>.</w:t>
      </w:r>
    </w:p>
    <w:p w14:paraId="66438E57" w14:textId="77777777" w:rsidR="00432DA6" w:rsidRDefault="00432DA6" w:rsidP="00DD4FC8">
      <w:pPr>
        <w:pStyle w:val="FootnoteText"/>
        <w:spacing w:line="360" w:lineRule="auto"/>
        <w:ind w:left="450" w:hanging="450"/>
        <w:jc w:val="both"/>
        <w:rPr>
          <w:sz w:val="22"/>
          <w:szCs w:val="22"/>
          <w:lang w:val="es-ES"/>
        </w:rPr>
      </w:pPr>
      <w:r w:rsidRPr="001C4D3B">
        <w:rPr>
          <w:sz w:val="22"/>
          <w:szCs w:val="22"/>
          <w:lang w:val="es-ES"/>
        </w:rPr>
        <w:t>Santos Pérez,</w:t>
      </w:r>
      <w:r>
        <w:rPr>
          <w:sz w:val="22"/>
          <w:szCs w:val="22"/>
          <w:lang w:val="es-ES"/>
        </w:rPr>
        <w:t xml:space="preserve"> </w:t>
      </w:r>
      <w:r w:rsidRPr="001C4D3B">
        <w:rPr>
          <w:sz w:val="22"/>
          <w:szCs w:val="22"/>
          <w:lang w:val="es-ES"/>
        </w:rPr>
        <w:t>José Manuel</w:t>
      </w:r>
      <w:r>
        <w:rPr>
          <w:sz w:val="22"/>
          <w:szCs w:val="22"/>
          <w:lang w:val="es-ES"/>
        </w:rPr>
        <w:t>,</w:t>
      </w:r>
      <w:r w:rsidRPr="001C4D3B">
        <w:rPr>
          <w:sz w:val="22"/>
          <w:szCs w:val="22"/>
          <w:lang w:val="es-ES"/>
        </w:rPr>
        <w:t xml:space="preserve"> </w:t>
      </w:r>
      <w:r w:rsidRPr="001C4D3B">
        <w:rPr>
          <w:i/>
          <w:sz w:val="22"/>
          <w:szCs w:val="22"/>
          <w:lang w:val="es-ES"/>
        </w:rPr>
        <w:t>Élites, poder local y régimen colonial: el cabildo y los regidores de Santiago de Guatemala, 1700-1787</w:t>
      </w:r>
      <w:r w:rsidR="00824486">
        <w:rPr>
          <w:i/>
          <w:sz w:val="22"/>
          <w:szCs w:val="22"/>
          <w:lang w:val="es-ES"/>
        </w:rPr>
        <w:t xml:space="preserve">, </w:t>
      </w:r>
      <w:proofErr w:type="spellStart"/>
      <w:r w:rsidRPr="001C4D3B">
        <w:rPr>
          <w:sz w:val="22"/>
          <w:szCs w:val="22"/>
          <w:lang w:val="es-ES"/>
        </w:rPr>
        <w:t>P</w:t>
      </w:r>
      <w:r>
        <w:rPr>
          <w:sz w:val="22"/>
          <w:szCs w:val="22"/>
          <w:lang w:val="es-ES"/>
        </w:rPr>
        <w:t>lumsock</w:t>
      </w:r>
      <w:proofErr w:type="spellEnd"/>
      <w:r>
        <w:rPr>
          <w:sz w:val="22"/>
          <w:szCs w:val="22"/>
          <w:lang w:val="es-ES"/>
        </w:rPr>
        <w:t xml:space="preserve"> VT</w:t>
      </w:r>
      <w:r w:rsidR="00824486">
        <w:rPr>
          <w:sz w:val="22"/>
          <w:szCs w:val="22"/>
          <w:lang w:val="es-ES"/>
        </w:rPr>
        <w:t>, CIRMA,</w:t>
      </w:r>
      <w:r>
        <w:rPr>
          <w:sz w:val="22"/>
          <w:szCs w:val="22"/>
          <w:lang w:val="es-ES"/>
        </w:rPr>
        <w:t xml:space="preserve"> 2000</w:t>
      </w:r>
      <w:r w:rsidR="00824486">
        <w:rPr>
          <w:sz w:val="22"/>
          <w:szCs w:val="22"/>
          <w:lang w:val="es-ES"/>
        </w:rPr>
        <w:t>.</w:t>
      </w:r>
      <w:r w:rsidRPr="001C4D3B">
        <w:rPr>
          <w:sz w:val="22"/>
          <w:szCs w:val="22"/>
          <w:lang w:val="es-ES"/>
        </w:rPr>
        <w:t xml:space="preserve"> </w:t>
      </w:r>
    </w:p>
    <w:p w14:paraId="48B89B76" w14:textId="77777777" w:rsidR="001C5E4D" w:rsidRDefault="00432DA6" w:rsidP="001C5E4D">
      <w:pPr>
        <w:autoSpaceDE w:val="0"/>
        <w:autoSpaceDN w:val="0"/>
        <w:adjustRightInd w:val="0"/>
        <w:spacing w:line="360" w:lineRule="auto"/>
        <w:ind w:left="450" w:hanging="450"/>
        <w:jc w:val="both"/>
        <w:rPr>
          <w:sz w:val="22"/>
          <w:szCs w:val="22"/>
        </w:rPr>
      </w:pPr>
      <w:proofErr w:type="spellStart"/>
      <w:r w:rsidRPr="002E1A0F">
        <w:rPr>
          <w:sz w:val="22"/>
          <w:szCs w:val="22"/>
        </w:rPr>
        <w:t>Stoetzer</w:t>
      </w:r>
      <w:proofErr w:type="spellEnd"/>
      <w:r w:rsidRPr="002E1A0F">
        <w:rPr>
          <w:sz w:val="22"/>
          <w:szCs w:val="22"/>
        </w:rPr>
        <w:t>,</w:t>
      </w:r>
      <w:r>
        <w:rPr>
          <w:sz w:val="22"/>
          <w:szCs w:val="22"/>
        </w:rPr>
        <w:t xml:space="preserve"> </w:t>
      </w:r>
      <w:r w:rsidRPr="002E1A0F">
        <w:rPr>
          <w:sz w:val="22"/>
          <w:szCs w:val="22"/>
        </w:rPr>
        <w:t>Carlos O.</w:t>
      </w:r>
      <w:r>
        <w:rPr>
          <w:sz w:val="22"/>
          <w:szCs w:val="22"/>
        </w:rPr>
        <w:t>,</w:t>
      </w:r>
      <w:r w:rsidRPr="002E1A0F">
        <w:rPr>
          <w:sz w:val="22"/>
          <w:szCs w:val="22"/>
        </w:rPr>
        <w:t xml:space="preserve"> </w:t>
      </w:r>
      <w:r w:rsidRPr="002E1A0F">
        <w:rPr>
          <w:i/>
          <w:sz w:val="22"/>
          <w:szCs w:val="22"/>
        </w:rPr>
        <w:t>The Scholastic Roots of the Spanish American Revolution</w:t>
      </w:r>
      <w:r w:rsidRPr="002E1A0F">
        <w:rPr>
          <w:sz w:val="22"/>
          <w:szCs w:val="22"/>
        </w:rPr>
        <w:t>s</w:t>
      </w:r>
      <w:r w:rsidR="00824486">
        <w:rPr>
          <w:sz w:val="22"/>
          <w:szCs w:val="22"/>
        </w:rPr>
        <w:t xml:space="preserve">, </w:t>
      </w:r>
      <w:r w:rsidRPr="002E1A0F">
        <w:rPr>
          <w:sz w:val="22"/>
          <w:szCs w:val="22"/>
        </w:rPr>
        <w:t>New York</w:t>
      </w:r>
      <w:r w:rsidR="00824486">
        <w:rPr>
          <w:sz w:val="22"/>
          <w:szCs w:val="22"/>
        </w:rPr>
        <w:t>,</w:t>
      </w:r>
      <w:r w:rsidRPr="002E1A0F">
        <w:rPr>
          <w:sz w:val="22"/>
          <w:szCs w:val="22"/>
        </w:rPr>
        <w:t xml:space="preserve"> </w:t>
      </w:r>
      <w:r>
        <w:rPr>
          <w:sz w:val="22"/>
          <w:szCs w:val="22"/>
        </w:rPr>
        <w:t>Fordham University Press, 1979</w:t>
      </w:r>
      <w:r w:rsidR="00824486">
        <w:rPr>
          <w:sz w:val="22"/>
          <w:szCs w:val="22"/>
        </w:rPr>
        <w:t>.</w:t>
      </w:r>
    </w:p>
    <w:p w14:paraId="6D30E15F" w14:textId="77777777" w:rsidR="00432DA6" w:rsidRPr="00936C95" w:rsidRDefault="00432DA6" w:rsidP="001C5E4D">
      <w:pPr>
        <w:autoSpaceDE w:val="0"/>
        <w:autoSpaceDN w:val="0"/>
        <w:adjustRightInd w:val="0"/>
        <w:spacing w:line="360" w:lineRule="auto"/>
        <w:ind w:left="450" w:hanging="450"/>
        <w:jc w:val="both"/>
        <w:rPr>
          <w:sz w:val="22"/>
          <w:szCs w:val="22"/>
          <w:lang w:val="es-ES"/>
        </w:rPr>
      </w:pPr>
      <w:proofErr w:type="spellStart"/>
      <w:r w:rsidRPr="001C4D3B">
        <w:rPr>
          <w:sz w:val="22"/>
          <w:szCs w:val="22"/>
          <w:lang w:val="es-ES"/>
        </w:rPr>
        <w:t>Taracena</w:t>
      </w:r>
      <w:proofErr w:type="spellEnd"/>
      <w:r w:rsidRPr="001C4D3B">
        <w:rPr>
          <w:sz w:val="22"/>
          <w:szCs w:val="22"/>
          <w:lang w:val="es-ES"/>
        </w:rPr>
        <w:t xml:space="preserve"> Arriola,</w:t>
      </w:r>
      <w:r>
        <w:rPr>
          <w:sz w:val="22"/>
          <w:szCs w:val="22"/>
          <w:lang w:val="es-ES"/>
        </w:rPr>
        <w:t xml:space="preserve"> </w:t>
      </w:r>
      <w:r w:rsidRPr="001C4D3B">
        <w:rPr>
          <w:sz w:val="22"/>
          <w:szCs w:val="22"/>
          <w:lang w:val="es-ES"/>
        </w:rPr>
        <w:t xml:space="preserve">Arturo </w:t>
      </w:r>
      <w:r>
        <w:rPr>
          <w:sz w:val="22"/>
          <w:szCs w:val="22"/>
          <w:lang w:val="es-ES"/>
        </w:rPr>
        <w:t>(</w:t>
      </w:r>
      <w:r w:rsidRPr="001C4D3B">
        <w:rPr>
          <w:sz w:val="22"/>
          <w:szCs w:val="22"/>
          <w:lang w:val="es-ES"/>
        </w:rPr>
        <w:t>ed.</w:t>
      </w:r>
      <w:r>
        <w:rPr>
          <w:sz w:val="22"/>
          <w:szCs w:val="22"/>
          <w:lang w:val="es-ES"/>
        </w:rPr>
        <w:t>)</w:t>
      </w:r>
      <w:r w:rsidRPr="001C4D3B">
        <w:rPr>
          <w:sz w:val="22"/>
          <w:szCs w:val="22"/>
          <w:lang w:val="es-ES"/>
        </w:rPr>
        <w:t xml:space="preserve">, </w:t>
      </w:r>
      <w:r w:rsidRPr="001C4D3B">
        <w:rPr>
          <w:i/>
          <w:sz w:val="22"/>
          <w:szCs w:val="22"/>
          <w:lang w:val="es-ES"/>
        </w:rPr>
        <w:t>Periódicos Salvadoreños de la primera mitad del siglo XIX</w:t>
      </w:r>
      <w:r w:rsidR="00824486">
        <w:rPr>
          <w:i/>
          <w:sz w:val="22"/>
          <w:szCs w:val="22"/>
          <w:lang w:val="es-ES"/>
        </w:rPr>
        <w:t xml:space="preserve">, </w:t>
      </w:r>
      <w:r w:rsidRPr="001C4D3B">
        <w:rPr>
          <w:sz w:val="22"/>
          <w:szCs w:val="22"/>
          <w:lang w:val="es-ES"/>
        </w:rPr>
        <w:t>San Salvador</w:t>
      </w:r>
      <w:r w:rsidR="00824486">
        <w:rPr>
          <w:sz w:val="22"/>
          <w:szCs w:val="22"/>
          <w:lang w:val="es-ES"/>
        </w:rPr>
        <w:t xml:space="preserve">, </w:t>
      </w:r>
      <w:r w:rsidRPr="001C4D3B">
        <w:rPr>
          <w:sz w:val="22"/>
          <w:szCs w:val="22"/>
          <w:lang w:val="es-ES"/>
        </w:rPr>
        <w:t xml:space="preserve">Fundación </w:t>
      </w:r>
      <w:proofErr w:type="spellStart"/>
      <w:r w:rsidRPr="001C4D3B">
        <w:rPr>
          <w:sz w:val="22"/>
          <w:szCs w:val="22"/>
          <w:lang w:val="es-ES"/>
        </w:rPr>
        <w:t>Dr</w:t>
      </w:r>
      <w:proofErr w:type="spellEnd"/>
      <w:r w:rsidRPr="001C4D3B">
        <w:rPr>
          <w:sz w:val="22"/>
          <w:szCs w:val="22"/>
          <w:lang w:val="es-ES"/>
        </w:rPr>
        <w:t xml:space="preserve"> Manuel Gallardo y CEMCA, </w:t>
      </w:r>
      <w:proofErr w:type="spellStart"/>
      <w:r w:rsidRPr="001C4D3B">
        <w:rPr>
          <w:sz w:val="22"/>
          <w:szCs w:val="22"/>
          <w:lang w:val="es-ES"/>
        </w:rPr>
        <w:t>ca</w:t>
      </w:r>
      <w:proofErr w:type="spellEnd"/>
      <w:r w:rsidRPr="001C4D3B">
        <w:rPr>
          <w:sz w:val="22"/>
          <w:szCs w:val="22"/>
          <w:lang w:val="es-ES"/>
        </w:rPr>
        <w:t>. 1995</w:t>
      </w:r>
      <w:r w:rsidR="00824486">
        <w:rPr>
          <w:sz w:val="22"/>
          <w:szCs w:val="22"/>
          <w:lang w:val="es-ES"/>
        </w:rPr>
        <w:t>.</w:t>
      </w:r>
    </w:p>
    <w:p w14:paraId="0742DBBF" w14:textId="77777777" w:rsidR="00432DA6" w:rsidRDefault="00432DA6" w:rsidP="00DD4FC8">
      <w:pPr>
        <w:pStyle w:val="FootnoteText"/>
        <w:spacing w:line="360" w:lineRule="auto"/>
        <w:ind w:left="450" w:hanging="450"/>
        <w:jc w:val="both"/>
        <w:rPr>
          <w:sz w:val="22"/>
          <w:szCs w:val="22"/>
          <w:lang w:val="es-ES_tradnl"/>
        </w:rPr>
      </w:pPr>
      <w:proofErr w:type="spellStart"/>
      <w:r w:rsidRPr="001C4D3B">
        <w:rPr>
          <w:sz w:val="22"/>
          <w:szCs w:val="22"/>
          <w:lang w:val="es-ES_tradnl"/>
        </w:rPr>
        <w:t>Taracena</w:t>
      </w:r>
      <w:proofErr w:type="spellEnd"/>
      <w:r w:rsidRPr="001C4D3B">
        <w:rPr>
          <w:sz w:val="22"/>
          <w:szCs w:val="22"/>
          <w:lang w:val="es-ES_tradnl"/>
        </w:rPr>
        <w:t xml:space="preserve"> Arriola,</w:t>
      </w:r>
      <w:r>
        <w:rPr>
          <w:sz w:val="22"/>
          <w:szCs w:val="22"/>
          <w:lang w:val="es-ES_tradnl"/>
        </w:rPr>
        <w:t xml:space="preserve"> </w:t>
      </w:r>
      <w:r w:rsidRPr="001C4D3B">
        <w:rPr>
          <w:sz w:val="22"/>
          <w:szCs w:val="22"/>
          <w:lang w:val="es-ES_tradnl"/>
        </w:rPr>
        <w:t>Arturo</w:t>
      </w:r>
      <w:r>
        <w:rPr>
          <w:sz w:val="22"/>
          <w:szCs w:val="22"/>
          <w:lang w:val="es-ES_tradnl"/>
        </w:rPr>
        <w:t>,</w:t>
      </w:r>
      <w:r w:rsidRPr="001C4D3B">
        <w:rPr>
          <w:sz w:val="22"/>
          <w:szCs w:val="22"/>
          <w:lang w:val="es-ES_tradnl"/>
        </w:rPr>
        <w:t xml:space="preserve"> </w:t>
      </w:r>
      <w:r w:rsidRPr="001C4D3B">
        <w:rPr>
          <w:i/>
          <w:sz w:val="22"/>
          <w:szCs w:val="22"/>
          <w:lang w:val="es-ES_tradnl"/>
        </w:rPr>
        <w:t>Invención criolla</w:t>
      </w:r>
      <w:r w:rsidRPr="001C4D3B">
        <w:rPr>
          <w:sz w:val="22"/>
          <w:szCs w:val="22"/>
          <w:lang w:val="es-ES_tradnl"/>
        </w:rPr>
        <w:t xml:space="preserve">, </w:t>
      </w:r>
      <w:r w:rsidRPr="001C4D3B">
        <w:rPr>
          <w:i/>
          <w:iCs/>
          <w:sz w:val="22"/>
          <w:szCs w:val="22"/>
          <w:lang w:val="es-ES_tradnl"/>
        </w:rPr>
        <w:t>sueño ladino, pesadilla indígena: Los Altos de Guatemala: de región a Estado, 1740-1850</w:t>
      </w:r>
      <w:r w:rsidR="00C97DAF">
        <w:rPr>
          <w:sz w:val="22"/>
          <w:szCs w:val="22"/>
          <w:lang w:val="es-ES_tradnl"/>
        </w:rPr>
        <w:t xml:space="preserve">, </w:t>
      </w:r>
      <w:r w:rsidRPr="001C4D3B">
        <w:rPr>
          <w:sz w:val="22"/>
          <w:szCs w:val="22"/>
          <w:lang w:val="es-ES_tradnl"/>
        </w:rPr>
        <w:t>San José</w:t>
      </w:r>
      <w:r w:rsidR="00C97DAF">
        <w:rPr>
          <w:sz w:val="22"/>
          <w:szCs w:val="22"/>
          <w:lang w:val="es-ES_tradnl"/>
        </w:rPr>
        <w:t xml:space="preserve">, </w:t>
      </w:r>
      <w:r w:rsidRPr="001C4D3B">
        <w:rPr>
          <w:sz w:val="22"/>
          <w:szCs w:val="22"/>
          <w:lang w:val="es-ES_tradnl"/>
        </w:rPr>
        <w:t>Costa Rica) y La Anti</w:t>
      </w:r>
      <w:r w:rsidR="00C97DAF">
        <w:rPr>
          <w:sz w:val="22"/>
          <w:szCs w:val="22"/>
          <w:lang w:val="es-ES_tradnl"/>
        </w:rPr>
        <w:t xml:space="preserve">gua, </w:t>
      </w:r>
      <w:r w:rsidRPr="001C4D3B">
        <w:rPr>
          <w:sz w:val="22"/>
          <w:szCs w:val="22"/>
          <w:lang w:val="es-ES_tradnl"/>
        </w:rPr>
        <w:t>Guatemala</w:t>
      </w:r>
      <w:r w:rsidR="00C97DAF">
        <w:rPr>
          <w:sz w:val="22"/>
          <w:szCs w:val="22"/>
          <w:lang w:val="es-ES_tradnl"/>
        </w:rPr>
        <w:t>,</w:t>
      </w:r>
      <w:r w:rsidRPr="001C4D3B">
        <w:rPr>
          <w:sz w:val="22"/>
          <w:szCs w:val="22"/>
          <w:lang w:val="es-ES_tradnl"/>
        </w:rPr>
        <w:t xml:space="preserve"> Editorial Porvenir/CIRMA, 1997.</w:t>
      </w:r>
    </w:p>
    <w:p w14:paraId="2AF4E6F6" w14:textId="77777777" w:rsidR="00432DA6" w:rsidRPr="00936C95" w:rsidRDefault="00432DA6" w:rsidP="00DD4FC8">
      <w:pPr>
        <w:pStyle w:val="FootnoteText"/>
        <w:spacing w:line="360" w:lineRule="auto"/>
        <w:ind w:left="450" w:hanging="450"/>
        <w:jc w:val="both"/>
        <w:rPr>
          <w:i/>
          <w:sz w:val="22"/>
          <w:szCs w:val="22"/>
          <w:lang w:val="es-ES"/>
        </w:rPr>
      </w:pPr>
      <w:r w:rsidRPr="001C4D3B">
        <w:rPr>
          <w:sz w:val="22"/>
          <w:szCs w:val="22"/>
          <w:lang w:val="es-ES"/>
        </w:rPr>
        <w:t>Valle,</w:t>
      </w:r>
      <w:r>
        <w:rPr>
          <w:sz w:val="22"/>
          <w:szCs w:val="22"/>
          <w:lang w:val="es-ES"/>
        </w:rPr>
        <w:t xml:space="preserve"> </w:t>
      </w:r>
      <w:r w:rsidRPr="001C4D3B">
        <w:rPr>
          <w:sz w:val="22"/>
          <w:szCs w:val="22"/>
          <w:lang w:val="es-ES"/>
        </w:rPr>
        <w:t>Rafael</w:t>
      </w:r>
      <w:r>
        <w:rPr>
          <w:sz w:val="22"/>
          <w:szCs w:val="22"/>
          <w:lang w:val="es-ES"/>
        </w:rPr>
        <w:t xml:space="preserve"> </w:t>
      </w:r>
      <w:r w:rsidRPr="001C4D3B">
        <w:rPr>
          <w:sz w:val="22"/>
          <w:szCs w:val="22"/>
          <w:lang w:val="es-ES"/>
        </w:rPr>
        <w:t xml:space="preserve">Heliodoro </w:t>
      </w:r>
      <w:r>
        <w:rPr>
          <w:sz w:val="22"/>
          <w:szCs w:val="22"/>
          <w:lang w:val="es-ES"/>
        </w:rPr>
        <w:t>(</w:t>
      </w:r>
      <w:r w:rsidRPr="001C4D3B">
        <w:rPr>
          <w:sz w:val="22"/>
          <w:szCs w:val="22"/>
          <w:lang w:val="es-ES"/>
        </w:rPr>
        <w:t>ed.</w:t>
      </w:r>
      <w:r>
        <w:rPr>
          <w:sz w:val="22"/>
          <w:szCs w:val="22"/>
          <w:lang w:val="es-ES"/>
        </w:rPr>
        <w:t>)</w:t>
      </w:r>
      <w:r w:rsidRPr="001C4D3B">
        <w:rPr>
          <w:sz w:val="22"/>
          <w:szCs w:val="22"/>
          <w:lang w:val="es-ES"/>
        </w:rPr>
        <w:t xml:space="preserve">, </w:t>
      </w:r>
      <w:r w:rsidRPr="001C4D3B">
        <w:rPr>
          <w:i/>
          <w:sz w:val="22"/>
          <w:szCs w:val="22"/>
          <w:lang w:val="es-ES"/>
        </w:rPr>
        <w:t>La anexión de Centro América a México (documentos y escritos de 1821)</w:t>
      </w:r>
      <w:r w:rsidRPr="001C4D3B">
        <w:rPr>
          <w:sz w:val="22"/>
          <w:szCs w:val="22"/>
          <w:lang w:val="es-ES"/>
        </w:rPr>
        <w:t>, 6 vols.</w:t>
      </w:r>
      <w:r w:rsidR="00C97DAF">
        <w:rPr>
          <w:sz w:val="22"/>
          <w:szCs w:val="22"/>
          <w:lang w:val="es-ES"/>
        </w:rPr>
        <w:t xml:space="preserve">, </w:t>
      </w:r>
      <w:proofErr w:type="spellStart"/>
      <w:r w:rsidRPr="00936C95">
        <w:rPr>
          <w:sz w:val="22"/>
          <w:szCs w:val="22"/>
          <w:lang w:val="es-ES"/>
        </w:rPr>
        <w:t>Mexico</w:t>
      </w:r>
      <w:proofErr w:type="spellEnd"/>
      <w:r w:rsidR="00C97DAF" w:rsidRPr="00936C95">
        <w:rPr>
          <w:sz w:val="22"/>
          <w:szCs w:val="22"/>
          <w:lang w:val="es-ES"/>
        </w:rPr>
        <w:t>,</w:t>
      </w:r>
      <w:r w:rsidRPr="00936C95">
        <w:rPr>
          <w:sz w:val="22"/>
          <w:szCs w:val="22"/>
          <w:lang w:val="es-ES"/>
        </w:rPr>
        <w:t xml:space="preserve"> Secretaría de Relaciones Exteriores, 1924-1949.</w:t>
      </w:r>
    </w:p>
    <w:p w14:paraId="104D242B" w14:textId="77777777" w:rsidR="00C97DAF" w:rsidRDefault="00C97DAF" w:rsidP="00C97DAF">
      <w:pPr>
        <w:pStyle w:val="FootnoteText"/>
        <w:spacing w:line="360" w:lineRule="auto"/>
        <w:ind w:left="450" w:hanging="450"/>
        <w:jc w:val="both"/>
        <w:rPr>
          <w:sz w:val="22"/>
          <w:szCs w:val="22"/>
        </w:rPr>
      </w:pPr>
      <w:r w:rsidRPr="001C4D3B">
        <w:rPr>
          <w:sz w:val="22"/>
          <w:szCs w:val="22"/>
        </w:rPr>
        <w:t>Woodward, Jr.,</w:t>
      </w:r>
      <w:r>
        <w:rPr>
          <w:sz w:val="22"/>
          <w:szCs w:val="22"/>
        </w:rPr>
        <w:t xml:space="preserve"> </w:t>
      </w:r>
      <w:r w:rsidRPr="001C4D3B">
        <w:rPr>
          <w:sz w:val="22"/>
          <w:szCs w:val="22"/>
        </w:rPr>
        <w:t>Ralph Lee</w:t>
      </w:r>
      <w:r>
        <w:rPr>
          <w:sz w:val="22"/>
          <w:szCs w:val="22"/>
        </w:rPr>
        <w:t>,</w:t>
      </w:r>
      <w:r w:rsidRPr="001C4D3B">
        <w:rPr>
          <w:sz w:val="22"/>
          <w:szCs w:val="22"/>
        </w:rPr>
        <w:t xml:space="preserve"> “Economic and Social Origins of the Guatemalan Political Parties (1773-1823)</w:t>
      </w:r>
      <w:r>
        <w:rPr>
          <w:sz w:val="22"/>
          <w:szCs w:val="22"/>
        </w:rPr>
        <w:t>”,</w:t>
      </w:r>
      <w:r w:rsidRPr="001C4D3B">
        <w:rPr>
          <w:sz w:val="22"/>
          <w:szCs w:val="22"/>
        </w:rPr>
        <w:t xml:space="preserve"> </w:t>
      </w:r>
      <w:r>
        <w:rPr>
          <w:i/>
          <w:sz w:val="22"/>
          <w:szCs w:val="22"/>
        </w:rPr>
        <w:t>The Hispanic American H</w:t>
      </w:r>
      <w:r w:rsidRPr="001C4D3B">
        <w:rPr>
          <w:i/>
          <w:sz w:val="22"/>
          <w:szCs w:val="22"/>
        </w:rPr>
        <w:t xml:space="preserve">istorical Review </w:t>
      </w:r>
      <w:r w:rsidRPr="001C4D3B">
        <w:rPr>
          <w:sz w:val="22"/>
          <w:szCs w:val="22"/>
        </w:rPr>
        <w:t>45, no 4 (1965), 561-562</w:t>
      </w:r>
      <w:r>
        <w:rPr>
          <w:sz w:val="22"/>
          <w:szCs w:val="22"/>
        </w:rPr>
        <w:t>.</w:t>
      </w:r>
    </w:p>
    <w:p w14:paraId="7A712CF5" w14:textId="77777777" w:rsidR="00C97DAF" w:rsidRDefault="00C97DAF" w:rsidP="00C97DAF">
      <w:pPr>
        <w:pStyle w:val="FootnoteText"/>
        <w:spacing w:line="360" w:lineRule="auto"/>
        <w:ind w:left="450" w:hanging="450"/>
        <w:jc w:val="both"/>
        <w:rPr>
          <w:sz w:val="22"/>
          <w:szCs w:val="22"/>
        </w:rPr>
      </w:pPr>
      <w:r>
        <w:rPr>
          <w:sz w:val="22"/>
          <w:szCs w:val="22"/>
        </w:rPr>
        <w:t>Woodward</w:t>
      </w:r>
      <w:r w:rsidRPr="001C4D3B">
        <w:rPr>
          <w:sz w:val="22"/>
          <w:szCs w:val="22"/>
        </w:rPr>
        <w:t xml:space="preserve"> Jr.,</w:t>
      </w:r>
      <w:r>
        <w:rPr>
          <w:sz w:val="22"/>
          <w:szCs w:val="22"/>
        </w:rPr>
        <w:t xml:space="preserve"> </w:t>
      </w:r>
      <w:r w:rsidRPr="001C4D3B">
        <w:rPr>
          <w:sz w:val="22"/>
          <w:szCs w:val="22"/>
        </w:rPr>
        <w:t>Ralph Lee</w:t>
      </w:r>
      <w:r>
        <w:rPr>
          <w:sz w:val="22"/>
          <w:szCs w:val="22"/>
        </w:rPr>
        <w:t>,</w:t>
      </w:r>
      <w:r w:rsidRPr="001C4D3B">
        <w:rPr>
          <w:sz w:val="22"/>
          <w:szCs w:val="22"/>
        </w:rPr>
        <w:t xml:space="preserve"> </w:t>
      </w:r>
      <w:r w:rsidRPr="001C4D3B">
        <w:rPr>
          <w:i/>
          <w:sz w:val="22"/>
          <w:szCs w:val="22"/>
        </w:rPr>
        <w:t>Rafael Carrera and the Emergence of the Republic of Guatemala, 1821-1871</w:t>
      </w:r>
      <w:r>
        <w:rPr>
          <w:i/>
          <w:sz w:val="22"/>
          <w:szCs w:val="22"/>
        </w:rPr>
        <w:t xml:space="preserve">, </w:t>
      </w:r>
      <w:r w:rsidRPr="001C4D3B">
        <w:rPr>
          <w:sz w:val="22"/>
          <w:szCs w:val="22"/>
        </w:rPr>
        <w:t>Athens</w:t>
      </w:r>
      <w:r>
        <w:rPr>
          <w:sz w:val="22"/>
          <w:szCs w:val="22"/>
        </w:rPr>
        <w:t>,</w:t>
      </w:r>
      <w:r w:rsidRPr="001C4D3B">
        <w:rPr>
          <w:sz w:val="22"/>
          <w:szCs w:val="22"/>
        </w:rPr>
        <w:t xml:space="preserve"> University of Georgia Press, 1993.</w:t>
      </w:r>
    </w:p>
    <w:p w14:paraId="62D69AB4" w14:textId="77777777" w:rsidR="00432DA6" w:rsidRPr="003957F7" w:rsidRDefault="00432DA6" w:rsidP="00DD4FC8">
      <w:pPr>
        <w:spacing w:line="360" w:lineRule="auto"/>
        <w:ind w:left="450" w:hanging="450"/>
        <w:jc w:val="both"/>
      </w:pPr>
      <w:r w:rsidRPr="001C4D3B">
        <w:rPr>
          <w:sz w:val="22"/>
          <w:szCs w:val="22"/>
        </w:rPr>
        <w:t>Woodward</w:t>
      </w:r>
      <w:r>
        <w:rPr>
          <w:sz w:val="22"/>
          <w:szCs w:val="22"/>
        </w:rPr>
        <w:t xml:space="preserve"> </w:t>
      </w:r>
      <w:r w:rsidRPr="001C4D3B">
        <w:rPr>
          <w:sz w:val="22"/>
          <w:szCs w:val="22"/>
        </w:rPr>
        <w:t>Jr.,</w:t>
      </w:r>
      <w:r>
        <w:rPr>
          <w:sz w:val="22"/>
          <w:szCs w:val="22"/>
        </w:rPr>
        <w:t xml:space="preserve"> </w:t>
      </w:r>
      <w:r w:rsidRPr="001C4D3B">
        <w:rPr>
          <w:sz w:val="22"/>
          <w:szCs w:val="22"/>
        </w:rPr>
        <w:t>Ralph Lee</w:t>
      </w:r>
      <w:r>
        <w:rPr>
          <w:sz w:val="22"/>
          <w:szCs w:val="22"/>
        </w:rPr>
        <w:t>,</w:t>
      </w:r>
      <w:r w:rsidRPr="001C4D3B">
        <w:rPr>
          <w:sz w:val="22"/>
          <w:szCs w:val="22"/>
        </w:rPr>
        <w:t xml:space="preserve"> “The Formation of Regional Identity in Central America during the First Half-Century of Independence, 1821-1871</w:t>
      </w:r>
      <w:r w:rsidR="00FE4DCC">
        <w:rPr>
          <w:sz w:val="22"/>
          <w:szCs w:val="22"/>
        </w:rPr>
        <w:t>”,</w:t>
      </w:r>
      <w:r w:rsidRPr="001C4D3B">
        <w:rPr>
          <w:sz w:val="22"/>
          <w:szCs w:val="22"/>
        </w:rPr>
        <w:t xml:space="preserve"> </w:t>
      </w:r>
      <w:r w:rsidR="00C97DAF" w:rsidRPr="00C97DAF">
        <w:rPr>
          <w:i/>
          <w:sz w:val="22"/>
          <w:szCs w:val="22"/>
        </w:rPr>
        <w:t xml:space="preserve">Cahiers de </w:t>
      </w:r>
      <w:proofErr w:type="spellStart"/>
      <w:r w:rsidR="00C97DAF" w:rsidRPr="00C97DAF">
        <w:rPr>
          <w:i/>
          <w:sz w:val="22"/>
          <w:szCs w:val="22"/>
        </w:rPr>
        <w:t>l’</w:t>
      </w:r>
      <w:r w:rsidRPr="00C97DAF">
        <w:rPr>
          <w:i/>
          <w:sz w:val="22"/>
          <w:szCs w:val="22"/>
        </w:rPr>
        <w:t>Université</w:t>
      </w:r>
      <w:proofErr w:type="spellEnd"/>
      <w:r w:rsidRPr="00C97DAF">
        <w:rPr>
          <w:i/>
          <w:sz w:val="22"/>
          <w:szCs w:val="22"/>
        </w:rPr>
        <w:t xml:space="preserve"> de Perpignan</w:t>
      </w:r>
      <w:r w:rsidR="00C97DAF">
        <w:rPr>
          <w:sz w:val="22"/>
          <w:szCs w:val="22"/>
        </w:rPr>
        <w:t xml:space="preserve">, </w:t>
      </w:r>
      <w:r w:rsidR="00C97DAF" w:rsidRPr="001C4D3B">
        <w:rPr>
          <w:i/>
          <w:sz w:val="22"/>
          <w:szCs w:val="22"/>
        </w:rPr>
        <w:t xml:space="preserve">Arts et </w:t>
      </w:r>
      <w:proofErr w:type="spellStart"/>
      <w:r w:rsidR="00C97DAF" w:rsidRPr="001C4D3B">
        <w:rPr>
          <w:i/>
          <w:sz w:val="22"/>
          <w:szCs w:val="22"/>
        </w:rPr>
        <w:t>Identité</w:t>
      </w:r>
      <w:proofErr w:type="spellEnd"/>
      <w:r w:rsidR="00C97DAF" w:rsidRPr="001C4D3B">
        <w:rPr>
          <w:i/>
          <w:sz w:val="22"/>
          <w:szCs w:val="22"/>
        </w:rPr>
        <w:t xml:space="preserve"> </w:t>
      </w:r>
      <w:proofErr w:type="spellStart"/>
      <w:r w:rsidR="00C97DAF" w:rsidRPr="001C4D3B">
        <w:rPr>
          <w:i/>
          <w:sz w:val="22"/>
          <w:szCs w:val="22"/>
        </w:rPr>
        <w:t>Régionale</w:t>
      </w:r>
      <w:proofErr w:type="spellEnd"/>
      <w:r w:rsidR="00C97DAF" w:rsidRPr="001C4D3B">
        <w:rPr>
          <w:i/>
          <w:sz w:val="22"/>
          <w:szCs w:val="22"/>
        </w:rPr>
        <w:t>,</w:t>
      </w:r>
      <w:r w:rsidR="00C97DAF">
        <w:rPr>
          <w:sz w:val="22"/>
          <w:szCs w:val="22"/>
        </w:rPr>
        <w:t xml:space="preserve"> 32 (Perpignan, 2001)</w:t>
      </w:r>
      <w:r w:rsidRPr="001C4D3B">
        <w:rPr>
          <w:sz w:val="22"/>
          <w:szCs w:val="22"/>
        </w:rPr>
        <w:t>.</w:t>
      </w:r>
    </w:p>
    <w:p w14:paraId="5DF9D437" w14:textId="77777777" w:rsidR="00432DA6" w:rsidRPr="00365BEB" w:rsidRDefault="00432DA6" w:rsidP="00365BEB">
      <w:pPr>
        <w:pStyle w:val="FootnoteText"/>
        <w:spacing w:line="360" w:lineRule="auto"/>
        <w:ind w:left="450" w:hanging="450"/>
        <w:jc w:val="both"/>
        <w:rPr>
          <w:sz w:val="22"/>
          <w:szCs w:val="22"/>
        </w:rPr>
      </w:pPr>
      <w:r w:rsidRPr="00936C95">
        <w:rPr>
          <w:sz w:val="22"/>
          <w:szCs w:val="22"/>
        </w:rPr>
        <w:lastRenderedPageBreak/>
        <w:t>Wortman, Miles</w:t>
      </w:r>
      <w:r w:rsidR="00A437E3" w:rsidRPr="00936C95">
        <w:rPr>
          <w:sz w:val="22"/>
          <w:szCs w:val="22"/>
        </w:rPr>
        <w:t xml:space="preserve">, </w:t>
      </w:r>
      <w:r w:rsidR="00A437E3" w:rsidRPr="00936C95">
        <w:rPr>
          <w:i/>
          <w:sz w:val="22"/>
          <w:szCs w:val="22"/>
        </w:rPr>
        <w:t>Government and Society in Central America, 1680-1840</w:t>
      </w:r>
      <w:r w:rsidR="00A437E3" w:rsidRPr="00936C95">
        <w:rPr>
          <w:sz w:val="22"/>
          <w:szCs w:val="22"/>
        </w:rPr>
        <w:t xml:space="preserve">, </w:t>
      </w:r>
      <w:r w:rsidR="00365BEB" w:rsidRPr="00936C95">
        <w:rPr>
          <w:sz w:val="22"/>
          <w:szCs w:val="22"/>
        </w:rPr>
        <w:t>New York, Columbia University Press</w:t>
      </w:r>
      <w:r w:rsidR="00A437E3" w:rsidRPr="00936C95">
        <w:rPr>
          <w:sz w:val="22"/>
          <w:szCs w:val="22"/>
        </w:rPr>
        <w:t>, 1982.</w:t>
      </w:r>
    </w:p>
    <w:sectPr w:rsidR="00432DA6" w:rsidRPr="00365BEB" w:rsidSect="005946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02D1" w14:textId="77777777" w:rsidR="002A3863" w:rsidRDefault="002A3863" w:rsidP="00441C1C">
      <w:r>
        <w:separator/>
      </w:r>
    </w:p>
  </w:endnote>
  <w:endnote w:type="continuationSeparator" w:id="0">
    <w:p w14:paraId="61BC6B21" w14:textId="77777777" w:rsidR="002A3863" w:rsidRDefault="002A3863" w:rsidP="0044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197D" w14:textId="77777777" w:rsidR="002A3863" w:rsidRDefault="002A3863" w:rsidP="00441C1C">
      <w:r>
        <w:separator/>
      </w:r>
    </w:p>
  </w:footnote>
  <w:footnote w:type="continuationSeparator" w:id="0">
    <w:p w14:paraId="27D64B2A" w14:textId="77777777" w:rsidR="002A3863" w:rsidRDefault="002A3863" w:rsidP="00441C1C">
      <w:r>
        <w:continuationSeparator/>
      </w:r>
    </w:p>
  </w:footnote>
  <w:footnote w:id="1">
    <w:p w14:paraId="5C648CCC"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Ciudad de Guatemala, Libro de Cabildo, Sesión Ordinaria 84, 23-XII-1845</w:t>
      </w:r>
      <w:r w:rsidRPr="00D73DA3">
        <w:rPr>
          <w:sz w:val="22"/>
          <w:szCs w:val="22"/>
          <w:lang w:val="es-ES"/>
        </w:rPr>
        <w:t>, Archivo General de Centroaméric</w:t>
      </w:r>
      <w:r>
        <w:rPr>
          <w:sz w:val="22"/>
          <w:szCs w:val="22"/>
          <w:lang w:val="es-ES"/>
        </w:rPr>
        <w:t>a (en adelante AGCA), B, 542-10125.</w:t>
      </w:r>
    </w:p>
  </w:footnote>
  <w:footnote w:id="2">
    <w:p w14:paraId="187A4E18"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Diputación Provincial, 9-XII-1820</w:t>
      </w:r>
      <w:r w:rsidRPr="00D73DA3">
        <w:rPr>
          <w:sz w:val="22"/>
          <w:szCs w:val="22"/>
          <w:lang w:val="es-ES_tradnl"/>
        </w:rPr>
        <w:t xml:space="preserve">, publicado en </w:t>
      </w:r>
      <w:r w:rsidRPr="00D73DA3">
        <w:rPr>
          <w:i/>
          <w:sz w:val="22"/>
          <w:szCs w:val="22"/>
          <w:lang w:val="es-ES_tradnl"/>
        </w:rPr>
        <w:t>El Editor Constitucional</w:t>
      </w:r>
      <w:r w:rsidRPr="00D73DA3">
        <w:rPr>
          <w:sz w:val="22"/>
          <w:szCs w:val="22"/>
          <w:lang w:val="es-ES_tradnl"/>
        </w:rPr>
        <w:t>, 23-IV-1821, Nos. 1, 2 y 4, 534-535.</w:t>
      </w:r>
    </w:p>
  </w:footnote>
  <w:footnote w:id="3">
    <w:p w14:paraId="2712BC59"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En Centroamérica decimonónica, la acepción ‘ladino’ podría indicar una persona de herencia mixta (europeo, indígena, africano) y/o una persona de cultura hispánica (hablar, vestir).  </w:t>
      </w:r>
    </w:p>
  </w:footnote>
  <w:footnote w:id="4">
    <w:p w14:paraId="14D05CB4" w14:textId="77777777" w:rsidR="00D9226D" w:rsidRPr="00D73DA3" w:rsidRDefault="00D9226D" w:rsidP="00936C95">
      <w:pPr>
        <w:autoSpaceDE w:val="0"/>
        <w:autoSpaceDN w:val="0"/>
        <w:adjustRightInd w:val="0"/>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Poderes: Credenc</w:t>
      </w:r>
      <w:r>
        <w:rPr>
          <w:i/>
          <w:sz w:val="22"/>
          <w:szCs w:val="22"/>
          <w:lang w:val="es-ES_tradnl"/>
        </w:rPr>
        <w:t>iales de</w:t>
      </w:r>
      <w:r w:rsidRPr="00D73DA3">
        <w:rPr>
          <w:i/>
          <w:sz w:val="22"/>
          <w:szCs w:val="22"/>
          <w:lang w:val="es-ES_tradnl"/>
        </w:rPr>
        <w:t xml:space="preserve"> diputados y suplentes, 1837</w:t>
      </w:r>
      <w:r w:rsidRPr="00D73DA3">
        <w:rPr>
          <w:sz w:val="22"/>
          <w:szCs w:val="22"/>
          <w:lang w:val="es-ES_tradnl"/>
        </w:rPr>
        <w:t>, AGCA, C1 204-5479. incluye instrucciones del congreso a varias localidades repetir las elecciones a causa de su evaluación de alegatos variados.</w:t>
      </w:r>
    </w:p>
  </w:footnote>
  <w:footnote w:id="5">
    <w:p w14:paraId="18812BFA" w14:textId="77777777" w:rsidR="00D9226D" w:rsidRPr="00D73DA3" w:rsidRDefault="00D9226D" w:rsidP="00936C95">
      <w:pPr>
        <w:autoSpaceDE w:val="0"/>
        <w:autoSpaceDN w:val="0"/>
        <w:adjustRightInd w:val="0"/>
        <w:jc w:val="both"/>
        <w:rPr>
          <w:color w:val="211D1E"/>
          <w:sz w:val="22"/>
          <w:szCs w:val="22"/>
          <w:lang w:val="es-ES"/>
        </w:rPr>
      </w:pPr>
      <w:r w:rsidRPr="00D73DA3">
        <w:rPr>
          <w:rStyle w:val="FootnoteReference"/>
          <w:sz w:val="22"/>
          <w:szCs w:val="22"/>
        </w:rPr>
        <w:footnoteRef/>
      </w:r>
      <w:r w:rsidRPr="00D73DA3">
        <w:rPr>
          <w:sz w:val="22"/>
          <w:szCs w:val="22"/>
          <w:lang w:val="es-ES"/>
        </w:rPr>
        <w:t xml:space="preserve"> Hay una larga y excelente literatura sobre el tema, liderado por autores europeos y </w:t>
      </w:r>
      <w:proofErr w:type="spellStart"/>
      <w:r w:rsidRPr="00D73DA3">
        <w:rPr>
          <w:sz w:val="22"/>
          <w:szCs w:val="22"/>
          <w:lang w:val="es-ES"/>
        </w:rPr>
        <w:t>iberoaméricanos</w:t>
      </w:r>
      <w:proofErr w:type="spellEnd"/>
      <w:r w:rsidRPr="00D73DA3">
        <w:rPr>
          <w:sz w:val="22"/>
          <w:szCs w:val="22"/>
          <w:lang w:val="es-ES"/>
        </w:rPr>
        <w:t xml:space="preserve">. Quijada, 2005, 61-86. Guerra, 1992, 1996, y 1998.  Rodríguez O., 1994. </w:t>
      </w:r>
      <w:proofErr w:type="spellStart"/>
      <w:r w:rsidRPr="00D73DA3">
        <w:rPr>
          <w:sz w:val="22"/>
          <w:szCs w:val="22"/>
          <w:lang w:val="es-ES"/>
        </w:rPr>
        <w:t>Stoetzer</w:t>
      </w:r>
      <w:proofErr w:type="spellEnd"/>
      <w:r w:rsidRPr="00D73DA3">
        <w:rPr>
          <w:sz w:val="22"/>
          <w:szCs w:val="22"/>
          <w:lang w:val="es-ES"/>
        </w:rPr>
        <w:t xml:space="preserve">, 1979. </w:t>
      </w:r>
      <w:proofErr w:type="spellStart"/>
      <w:r w:rsidRPr="00D73DA3">
        <w:rPr>
          <w:color w:val="211D1E"/>
          <w:sz w:val="22"/>
          <w:szCs w:val="22"/>
          <w:lang w:val="es-ES"/>
        </w:rPr>
        <w:t>Chiaramonte</w:t>
      </w:r>
      <w:proofErr w:type="spellEnd"/>
      <w:r w:rsidRPr="00D73DA3">
        <w:rPr>
          <w:color w:val="211D1E"/>
          <w:sz w:val="22"/>
          <w:szCs w:val="22"/>
          <w:lang w:val="es-ES"/>
        </w:rPr>
        <w:t xml:space="preserve">, 2004:563-586. </w:t>
      </w:r>
      <w:proofErr w:type="spellStart"/>
      <w:r w:rsidRPr="00D73DA3">
        <w:rPr>
          <w:sz w:val="22"/>
          <w:szCs w:val="22"/>
          <w:lang w:val="es-ES"/>
        </w:rPr>
        <w:t>Annino</w:t>
      </w:r>
      <w:proofErr w:type="spellEnd"/>
      <w:r w:rsidRPr="00D73DA3">
        <w:rPr>
          <w:sz w:val="22"/>
          <w:szCs w:val="22"/>
          <w:lang w:val="es-ES"/>
        </w:rPr>
        <w:t>, 1996 y 2003.</w:t>
      </w:r>
    </w:p>
  </w:footnote>
  <w:footnote w:id="6">
    <w:p w14:paraId="2E80CD58" w14:textId="77777777" w:rsidR="00D9226D" w:rsidRPr="00D73DA3" w:rsidRDefault="00D9226D" w:rsidP="00936C95">
      <w:pPr>
        <w:jc w:val="both"/>
        <w:rPr>
          <w:sz w:val="22"/>
          <w:szCs w:val="22"/>
          <w:lang w:val="es-ES"/>
        </w:rPr>
      </w:pPr>
      <w:r w:rsidRPr="00D73DA3">
        <w:rPr>
          <w:rStyle w:val="FootnoteReference"/>
          <w:sz w:val="22"/>
          <w:szCs w:val="22"/>
        </w:rPr>
        <w:footnoteRef/>
      </w:r>
      <w:r w:rsidRPr="00D73DA3">
        <w:rPr>
          <w:sz w:val="22"/>
          <w:szCs w:val="22"/>
          <w:lang w:val="es-ES"/>
        </w:rPr>
        <w:t xml:space="preserve"> </w:t>
      </w:r>
      <w:r>
        <w:rPr>
          <w:rStyle w:val="FootnoteTextChar1"/>
          <w:sz w:val="22"/>
          <w:szCs w:val="22"/>
          <w:lang w:val="es-ES"/>
        </w:rPr>
        <w:t>Sá</w:t>
      </w:r>
      <w:r w:rsidRPr="00D73DA3">
        <w:rPr>
          <w:rStyle w:val="FootnoteTextChar1"/>
          <w:sz w:val="22"/>
          <w:szCs w:val="22"/>
          <w:lang w:val="es-ES"/>
        </w:rPr>
        <w:t>bato, 2006, 263.</w:t>
      </w:r>
    </w:p>
  </w:footnote>
  <w:footnote w:id="7">
    <w:p w14:paraId="1E52734D" w14:textId="35BFD2D5"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La literatura sobre la transición entre Colonia y Estado, o la independencia, que en muchos casos toca </w:t>
      </w:r>
      <w:r>
        <w:rPr>
          <w:sz w:val="22"/>
          <w:szCs w:val="22"/>
          <w:lang w:val="es-ES"/>
        </w:rPr>
        <w:t>e</w:t>
      </w:r>
      <w:r w:rsidRPr="00D73DA3">
        <w:rPr>
          <w:sz w:val="22"/>
          <w:szCs w:val="22"/>
          <w:lang w:val="es-ES"/>
        </w:rPr>
        <w:t>l tema, es más amplia.  Entre ello</w:t>
      </w:r>
      <w:r>
        <w:rPr>
          <w:sz w:val="22"/>
          <w:szCs w:val="22"/>
          <w:lang w:val="es-ES"/>
        </w:rPr>
        <w:t xml:space="preserve">s, véanse los trabajos de Lujan Muñoz, Meléndez </w:t>
      </w:r>
      <w:proofErr w:type="spellStart"/>
      <w:r>
        <w:rPr>
          <w:sz w:val="22"/>
          <w:szCs w:val="22"/>
          <w:lang w:val="es-ES"/>
        </w:rPr>
        <w:t>Chaverri</w:t>
      </w:r>
      <w:proofErr w:type="spellEnd"/>
      <w:r>
        <w:rPr>
          <w:sz w:val="22"/>
          <w:szCs w:val="22"/>
          <w:lang w:val="es-ES"/>
        </w:rPr>
        <w:t xml:space="preserve">, Pinto Soria, Rodríguez, </w:t>
      </w:r>
      <w:proofErr w:type="spellStart"/>
      <w:r>
        <w:rPr>
          <w:sz w:val="22"/>
          <w:szCs w:val="22"/>
          <w:lang w:val="es-ES"/>
        </w:rPr>
        <w:t>Taracena</w:t>
      </w:r>
      <w:proofErr w:type="spellEnd"/>
      <w:r>
        <w:rPr>
          <w:sz w:val="22"/>
          <w:szCs w:val="22"/>
          <w:lang w:val="es-ES"/>
        </w:rPr>
        <w:t xml:space="preserve"> Arriola y </w:t>
      </w:r>
      <w:proofErr w:type="spellStart"/>
      <w:r w:rsidRPr="00D73DA3">
        <w:rPr>
          <w:sz w:val="22"/>
          <w:szCs w:val="22"/>
          <w:lang w:val="es-ES"/>
        </w:rPr>
        <w:t>Wortman</w:t>
      </w:r>
      <w:proofErr w:type="spellEnd"/>
      <w:r w:rsidRPr="00D73DA3">
        <w:rPr>
          <w:sz w:val="22"/>
          <w:szCs w:val="22"/>
          <w:lang w:val="es-ES"/>
        </w:rPr>
        <w:t>.</w:t>
      </w:r>
    </w:p>
  </w:footnote>
  <w:footnote w:id="8">
    <w:p w14:paraId="5C1E0BA4" w14:textId="68B2FDCF"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Hasta el último cuarto siglo, las historias legales y electorales de la América Central eran pocas. El bicentenario de la independencia iberoamericana llamó la atención al trabajo de François Xavier Guerra, Antonio </w:t>
      </w:r>
      <w:proofErr w:type="spellStart"/>
      <w:r w:rsidRPr="00D73DA3">
        <w:rPr>
          <w:sz w:val="22"/>
          <w:szCs w:val="22"/>
          <w:lang w:val="es-ES"/>
        </w:rPr>
        <w:t>Annino</w:t>
      </w:r>
      <w:proofErr w:type="spellEnd"/>
      <w:r w:rsidRPr="00D73DA3">
        <w:rPr>
          <w:sz w:val="22"/>
          <w:szCs w:val="22"/>
          <w:lang w:val="es-ES"/>
        </w:rPr>
        <w:t xml:space="preserve">, Jaime E. Rodríguez O. y otros, inspirando </w:t>
      </w:r>
      <w:r>
        <w:rPr>
          <w:sz w:val="22"/>
          <w:szCs w:val="22"/>
          <w:lang w:val="es-ES"/>
        </w:rPr>
        <w:t xml:space="preserve">a toda </w:t>
      </w:r>
      <w:r w:rsidRPr="00D73DA3">
        <w:rPr>
          <w:sz w:val="22"/>
          <w:szCs w:val="22"/>
          <w:lang w:val="es-ES"/>
        </w:rPr>
        <w:t xml:space="preserve">una generación de investigadores.  </w:t>
      </w:r>
      <w:r>
        <w:rPr>
          <w:sz w:val="22"/>
          <w:szCs w:val="22"/>
          <w:lang w:val="es-ES"/>
        </w:rPr>
        <w:t xml:space="preserve">Los trabajos del jurista </w:t>
      </w:r>
      <w:r w:rsidRPr="00D73DA3">
        <w:rPr>
          <w:sz w:val="22"/>
          <w:szCs w:val="22"/>
          <w:lang w:val="es-ES"/>
        </w:rPr>
        <w:t xml:space="preserve">García </w:t>
      </w:r>
      <w:proofErr w:type="spellStart"/>
      <w:r w:rsidRPr="00D73DA3">
        <w:rPr>
          <w:sz w:val="22"/>
          <w:szCs w:val="22"/>
          <w:lang w:val="es-ES"/>
        </w:rPr>
        <w:t>Laguardia</w:t>
      </w:r>
      <w:proofErr w:type="spellEnd"/>
      <w:r w:rsidRPr="00D73DA3">
        <w:rPr>
          <w:sz w:val="22"/>
          <w:szCs w:val="22"/>
          <w:lang w:val="es-ES"/>
        </w:rPr>
        <w:t xml:space="preserve">, 1971 y 1980, que excelentes introducciones al pensamiento político, </w:t>
      </w:r>
      <w:r>
        <w:rPr>
          <w:sz w:val="22"/>
          <w:szCs w:val="22"/>
          <w:lang w:val="es-ES"/>
        </w:rPr>
        <w:t xml:space="preserve">aunque </w:t>
      </w:r>
      <w:r w:rsidRPr="00D73DA3">
        <w:rPr>
          <w:sz w:val="22"/>
          <w:szCs w:val="22"/>
          <w:lang w:val="es-ES"/>
        </w:rPr>
        <w:t>con menos atención a la cultura y vida política.</w:t>
      </w:r>
    </w:p>
  </w:footnote>
  <w:footnote w:id="9">
    <w:p w14:paraId="07B1750A"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Obregón Quesada, 2000. Avendaño, 1994, 1995a, 1995b, 2014.</w:t>
      </w:r>
    </w:p>
  </w:footnote>
  <w:footnote w:id="10">
    <w:p w14:paraId="3DE3A7AC"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Falcón, 2006; </w:t>
      </w:r>
      <w:proofErr w:type="spellStart"/>
      <w:r w:rsidRPr="00D73DA3">
        <w:rPr>
          <w:sz w:val="22"/>
          <w:szCs w:val="22"/>
          <w:lang w:val="es-ES"/>
        </w:rPr>
        <w:t>Lehoucq</w:t>
      </w:r>
      <w:proofErr w:type="spellEnd"/>
      <w:r w:rsidRPr="00D73DA3">
        <w:rPr>
          <w:sz w:val="22"/>
          <w:szCs w:val="22"/>
          <w:lang w:val="es-ES"/>
        </w:rPr>
        <w:t xml:space="preserve"> y Molina, 2002.</w:t>
      </w:r>
      <w:r w:rsidRPr="00936C95">
        <w:rPr>
          <w:sz w:val="22"/>
          <w:szCs w:val="22"/>
          <w:lang w:val="es-ES"/>
        </w:rPr>
        <w:t xml:space="preserve"> Dym, 2001.</w:t>
      </w:r>
    </w:p>
  </w:footnote>
  <w:footnote w:id="11">
    <w:p w14:paraId="61A43D4F"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Alda</w:t>
      </w:r>
      <w:proofErr w:type="spellEnd"/>
      <w:r w:rsidRPr="00D73DA3">
        <w:rPr>
          <w:sz w:val="22"/>
          <w:szCs w:val="22"/>
          <w:lang w:val="es-ES"/>
        </w:rPr>
        <w:t xml:space="preserve"> </w:t>
      </w:r>
      <w:proofErr w:type="spellStart"/>
      <w:r w:rsidRPr="00D73DA3">
        <w:rPr>
          <w:sz w:val="22"/>
          <w:szCs w:val="22"/>
          <w:lang w:val="es-ES"/>
        </w:rPr>
        <w:t>Mejias</w:t>
      </w:r>
      <w:proofErr w:type="spellEnd"/>
      <w:r w:rsidRPr="00D73DA3">
        <w:rPr>
          <w:sz w:val="22"/>
          <w:szCs w:val="22"/>
          <w:lang w:val="es-ES"/>
        </w:rPr>
        <w:t xml:space="preserve">, </w:t>
      </w:r>
      <w:r w:rsidRPr="00D73DA3">
        <w:rPr>
          <w:rStyle w:val="result-small1"/>
          <w:sz w:val="22"/>
          <w:szCs w:val="22"/>
          <w:lang w:val="es-ES"/>
        </w:rPr>
        <w:t xml:space="preserve">2002 y 2004.  </w:t>
      </w:r>
    </w:p>
  </w:footnote>
  <w:footnote w:id="12">
    <w:p w14:paraId="74D0F901" w14:textId="77777777" w:rsidR="00D9226D" w:rsidRPr="00D73DA3" w:rsidRDefault="00D9226D" w:rsidP="00936C95">
      <w:pPr>
        <w:pStyle w:val="FootnoteText"/>
        <w:jc w:val="both"/>
        <w:rPr>
          <w:i/>
          <w:sz w:val="22"/>
          <w:szCs w:val="22"/>
          <w:lang w:val="es-ES"/>
        </w:rPr>
      </w:pPr>
      <w:r w:rsidRPr="00D73DA3">
        <w:rPr>
          <w:rStyle w:val="FootnoteReference"/>
          <w:sz w:val="22"/>
          <w:szCs w:val="22"/>
        </w:rPr>
        <w:footnoteRef/>
      </w:r>
      <w:r w:rsidRPr="00D73DA3">
        <w:rPr>
          <w:sz w:val="22"/>
          <w:szCs w:val="22"/>
          <w:lang w:val="es-ES"/>
        </w:rPr>
        <w:t xml:space="preserve"> Avendaño Rojas (coord.), </w:t>
      </w:r>
      <w:r w:rsidRPr="00D73DA3">
        <w:rPr>
          <w:bCs/>
          <w:sz w:val="22"/>
          <w:szCs w:val="22"/>
          <w:lang w:val="es-ES"/>
        </w:rPr>
        <w:t>2008.</w:t>
      </w:r>
      <w:r w:rsidRPr="00D73DA3">
        <w:rPr>
          <w:sz w:val="22"/>
          <w:szCs w:val="22"/>
          <w:lang w:val="es-ES"/>
        </w:rPr>
        <w:t xml:space="preserve"> </w:t>
      </w:r>
    </w:p>
  </w:footnote>
  <w:footnote w:id="13">
    <w:p w14:paraId="0FED9E7E" w14:textId="77777777" w:rsidR="00D9226D" w:rsidRPr="00D73DA3" w:rsidRDefault="00D9226D" w:rsidP="00936C95">
      <w:pPr>
        <w:autoSpaceDE w:val="0"/>
        <w:autoSpaceDN w:val="0"/>
        <w:adjustRightInd w:val="0"/>
        <w:jc w:val="both"/>
        <w:rPr>
          <w:sz w:val="22"/>
          <w:szCs w:val="22"/>
          <w:lang w:val="es-ES"/>
        </w:rPr>
      </w:pPr>
      <w:r w:rsidRPr="00D73DA3">
        <w:rPr>
          <w:rStyle w:val="FootnoteReference"/>
          <w:sz w:val="22"/>
          <w:szCs w:val="22"/>
        </w:rPr>
        <w:footnoteRef/>
      </w:r>
      <w:r w:rsidRPr="00D73DA3">
        <w:rPr>
          <w:sz w:val="22"/>
          <w:szCs w:val="22"/>
          <w:lang w:val="es-ES"/>
        </w:rPr>
        <w:t xml:space="preserve"> Especialmente, Rodríguez O., 2015. Mónica Quijada, 2005 y Guerra, 1998.</w:t>
      </w:r>
    </w:p>
  </w:footnote>
  <w:footnote w:id="14">
    <w:p w14:paraId="2395CCEC" w14:textId="5D6E2826" w:rsidR="00D9226D" w:rsidRPr="00AE7871" w:rsidRDefault="00D9226D">
      <w:pPr>
        <w:pStyle w:val="FootnoteText"/>
        <w:rPr>
          <w:lang w:val="es-ES_tradnl"/>
        </w:rPr>
      </w:pPr>
      <w:r>
        <w:rPr>
          <w:rStyle w:val="FootnoteReference"/>
        </w:rPr>
        <w:footnoteRef/>
      </w:r>
      <w:r w:rsidRPr="00AE7871">
        <w:rPr>
          <w:lang w:val="es-ES_tradnl"/>
        </w:rPr>
        <w:t xml:space="preserve"> </w:t>
      </w:r>
      <w:proofErr w:type="spellStart"/>
      <w:r>
        <w:rPr>
          <w:lang w:val="es-ES_tradnl"/>
        </w:rPr>
        <w:t>Manin</w:t>
      </w:r>
      <w:proofErr w:type="spellEnd"/>
      <w:r>
        <w:rPr>
          <w:lang w:val="es-ES_tradnl"/>
        </w:rPr>
        <w:t xml:space="preserve"> 1995 (2006, español).</w:t>
      </w:r>
    </w:p>
  </w:footnote>
  <w:footnote w:id="15">
    <w:p w14:paraId="5F94A756" w14:textId="383B4031" w:rsidR="00D9226D" w:rsidRPr="00AE7871" w:rsidRDefault="00D9226D">
      <w:pPr>
        <w:pStyle w:val="FootnoteText"/>
        <w:rPr>
          <w:lang w:val="es-ES_tradnl"/>
        </w:rPr>
      </w:pPr>
      <w:r>
        <w:rPr>
          <w:rStyle w:val="FootnoteReference"/>
        </w:rPr>
        <w:footnoteRef/>
      </w:r>
      <w:r w:rsidRPr="00AE7871">
        <w:rPr>
          <w:lang w:val="es-ES_tradnl"/>
        </w:rPr>
        <w:t xml:space="preserve"> </w:t>
      </w:r>
      <w:r w:rsidR="00AE7871">
        <w:rPr>
          <w:lang w:val="es-ES_tradnl"/>
        </w:rPr>
        <w:t>Uso el neologismo porque</w:t>
      </w:r>
      <w:r w:rsidR="00AE7871">
        <w:rPr>
          <w:lang w:val="es-ES"/>
        </w:rPr>
        <w:t xml:space="preserve"> m</w:t>
      </w:r>
      <w:r>
        <w:rPr>
          <w:lang w:val="es-ES"/>
        </w:rPr>
        <w:t>e parece que un proceso ‘</w:t>
      </w:r>
      <w:proofErr w:type="spellStart"/>
      <w:r>
        <w:rPr>
          <w:lang w:val="es-ES"/>
        </w:rPr>
        <w:t>selectoral</w:t>
      </w:r>
      <w:proofErr w:type="spellEnd"/>
      <w:r>
        <w:rPr>
          <w:lang w:val="es-ES"/>
        </w:rPr>
        <w:t>’ describe la</w:t>
      </w:r>
      <w:r w:rsidRPr="00B148E3">
        <w:rPr>
          <w:lang w:val="es-ES"/>
        </w:rPr>
        <w:t xml:space="preserve"> combinación de selección </w:t>
      </w:r>
      <w:r>
        <w:rPr>
          <w:lang w:val="es-ES"/>
        </w:rPr>
        <w:t>de candidatos o funcionarios después de</w:t>
      </w:r>
      <w:r w:rsidRPr="00B148E3">
        <w:rPr>
          <w:lang w:val="es-ES"/>
        </w:rPr>
        <w:t xml:space="preserve"> elecciones</w:t>
      </w:r>
      <w:r>
        <w:rPr>
          <w:lang w:val="es-ES"/>
        </w:rPr>
        <w:t xml:space="preserve"> que no se tratan de definitivas.  Es un sistema que se base en privilegiar la elección como la manera oficial de designar gobernantes, mientras que existen y se utiliza la selección entre </w:t>
      </w:r>
      <w:proofErr w:type="spellStart"/>
      <w:r>
        <w:rPr>
          <w:lang w:val="es-ES"/>
        </w:rPr>
        <w:t>candidados</w:t>
      </w:r>
      <w:proofErr w:type="spellEnd"/>
      <w:r>
        <w:rPr>
          <w:lang w:val="es-ES"/>
        </w:rPr>
        <w:t xml:space="preserve"> para resolver </w:t>
      </w:r>
      <w:proofErr w:type="spellStart"/>
      <w:r>
        <w:rPr>
          <w:lang w:val="es-ES"/>
        </w:rPr>
        <w:t>incertitumbres</w:t>
      </w:r>
      <w:proofErr w:type="spellEnd"/>
      <w:r>
        <w:rPr>
          <w:lang w:val="es-ES"/>
        </w:rPr>
        <w:t>.</w:t>
      </w:r>
    </w:p>
  </w:footnote>
  <w:footnote w:id="16">
    <w:p w14:paraId="29E5F675" w14:textId="77777777" w:rsidR="00D9226D" w:rsidRPr="00936C95" w:rsidRDefault="00D9226D" w:rsidP="00936C95">
      <w:pPr>
        <w:pStyle w:val="FootnoteText"/>
        <w:jc w:val="both"/>
        <w:rPr>
          <w:i/>
          <w:sz w:val="22"/>
          <w:szCs w:val="22"/>
          <w:lang w:val="es-ES"/>
        </w:rPr>
      </w:pPr>
      <w:r w:rsidRPr="00D73DA3">
        <w:rPr>
          <w:rStyle w:val="FootnoteReference"/>
          <w:sz w:val="22"/>
          <w:szCs w:val="22"/>
        </w:rPr>
        <w:footnoteRef/>
      </w:r>
      <w:r w:rsidRPr="00936C95">
        <w:rPr>
          <w:sz w:val="22"/>
          <w:szCs w:val="22"/>
          <w:lang w:val="es-ES"/>
        </w:rPr>
        <w:t xml:space="preserve"> Dym, 2006</w:t>
      </w:r>
      <w:r w:rsidRPr="00936C95">
        <w:rPr>
          <w:i/>
          <w:sz w:val="22"/>
          <w:szCs w:val="22"/>
          <w:lang w:val="es-ES"/>
        </w:rPr>
        <w:t>.</w:t>
      </w:r>
    </w:p>
  </w:footnote>
  <w:footnote w:id="17">
    <w:p w14:paraId="762CA03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sz w:val="22"/>
          <w:szCs w:val="22"/>
          <w:lang w:val="es-ES"/>
        </w:rPr>
        <w:t>Barrios, 1996.</w:t>
      </w:r>
    </w:p>
  </w:footnote>
  <w:footnote w:id="18">
    <w:p w14:paraId="290A9920" w14:textId="4FA43CC4"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w:t>
      </w:r>
      <w:proofErr w:type="spellStart"/>
      <w:r w:rsidRPr="00936C95">
        <w:rPr>
          <w:sz w:val="22"/>
          <w:szCs w:val="22"/>
          <w:lang w:val="es-ES"/>
        </w:rPr>
        <w:t>Habermas</w:t>
      </w:r>
      <w:proofErr w:type="spellEnd"/>
      <w:r w:rsidRPr="00936C95">
        <w:rPr>
          <w:sz w:val="22"/>
          <w:szCs w:val="22"/>
          <w:lang w:val="es-ES"/>
        </w:rPr>
        <w:t xml:space="preserve">, 1981. Véase </w:t>
      </w:r>
      <w:proofErr w:type="spellStart"/>
      <w:r w:rsidRPr="00936C95">
        <w:rPr>
          <w:sz w:val="22"/>
          <w:szCs w:val="22"/>
          <w:lang w:val="es-ES"/>
        </w:rPr>
        <w:t>Piccato</w:t>
      </w:r>
      <w:proofErr w:type="spellEnd"/>
      <w:r w:rsidRPr="00936C95">
        <w:rPr>
          <w:sz w:val="22"/>
          <w:szCs w:val="22"/>
          <w:lang w:val="es-ES"/>
        </w:rPr>
        <w:t xml:space="preserve"> 2010 para una bibliografía de obras importantes sobre la </w:t>
      </w:r>
      <w:r>
        <w:rPr>
          <w:sz w:val="22"/>
          <w:szCs w:val="22"/>
          <w:lang w:val="es-ES"/>
        </w:rPr>
        <w:t>e</w:t>
      </w:r>
      <w:r w:rsidRPr="00936C95">
        <w:rPr>
          <w:sz w:val="22"/>
          <w:szCs w:val="22"/>
          <w:lang w:val="es-ES"/>
        </w:rPr>
        <w:t xml:space="preserve">sfera pública en Iberoamérica hasta 2010. </w:t>
      </w:r>
      <w:proofErr w:type="spellStart"/>
      <w:r w:rsidRPr="00936C95">
        <w:rPr>
          <w:sz w:val="22"/>
          <w:szCs w:val="22"/>
          <w:lang w:val="es-ES"/>
        </w:rPr>
        <w:t>Woodward</w:t>
      </w:r>
      <w:proofErr w:type="spellEnd"/>
      <w:r w:rsidRPr="00936C95">
        <w:rPr>
          <w:sz w:val="22"/>
          <w:szCs w:val="22"/>
          <w:lang w:val="es-ES"/>
        </w:rPr>
        <w:t>, Jr. 1965, 549.</w:t>
      </w:r>
    </w:p>
  </w:footnote>
  <w:footnote w:id="19">
    <w:p w14:paraId="16A116F3"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Sobre cabildos de españoles en Guatemala del s. XVIII, </w:t>
      </w:r>
      <w:r>
        <w:rPr>
          <w:sz w:val="22"/>
          <w:szCs w:val="22"/>
          <w:lang w:val="es-ES"/>
        </w:rPr>
        <w:t>véase</w:t>
      </w:r>
      <w:r w:rsidRPr="00D73DA3">
        <w:rPr>
          <w:sz w:val="22"/>
          <w:szCs w:val="22"/>
          <w:lang w:val="es-ES"/>
        </w:rPr>
        <w:t xml:space="preserve"> Santos Pérez, 2000.  Dym, </w:t>
      </w:r>
      <w:proofErr w:type="spellStart"/>
      <w:r w:rsidRPr="00D73DA3">
        <w:rPr>
          <w:i/>
          <w:sz w:val="22"/>
          <w:szCs w:val="22"/>
          <w:lang w:val="es-ES"/>
        </w:rPr>
        <w:t>From</w:t>
      </w:r>
      <w:proofErr w:type="spellEnd"/>
      <w:r w:rsidRPr="00D73DA3">
        <w:rPr>
          <w:i/>
          <w:sz w:val="22"/>
          <w:szCs w:val="22"/>
          <w:lang w:val="es-ES"/>
        </w:rPr>
        <w:t xml:space="preserve"> </w:t>
      </w:r>
      <w:proofErr w:type="spellStart"/>
      <w:r w:rsidRPr="00D73DA3">
        <w:rPr>
          <w:i/>
          <w:sz w:val="22"/>
          <w:szCs w:val="22"/>
          <w:lang w:val="es-ES"/>
        </w:rPr>
        <w:t>Sovereign</w:t>
      </w:r>
      <w:proofErr w:type="spellEnd"/>
      <w:r w:rsidRPr="00D73DA3">
        <w:rPr>
          <w:i/>
          <w:sz w:val="22"/>
          <w:szCs w:val="22"/>
          <w:lang w:val="es-ES"/>
        </w:rPr>
        <w:t xml:space="preserve"> </w:t>
      </w:r>
      <w:proofErr w:type="spellStart"/>
      <w:r w:rsidRPr="00D73DA3">
        <w:rPr>
          <w:i/>
          <w:sz w:val="22"/>
          <w:szCs w:val="22"/>
          <w:lang w:val="es-ES"/>
        </w:rPr>
        <w:t>Villages</w:t>
      </w:r>
      <w:proofErr w:type="spellEnd"/>
      <w:r w:rsidRPr="00D73DA3">
        <w:rPr>
          <w:i/>
          <w:sz w:val="22"/>
          <w:szCs w:val="22"/>
          <w:lang w:val="es-ES"/>
        </w:rPr>
        <w:t xml:space="preserve">, </w:t>
      </w:r>
      <w:proofErr w:type="spellStart"/>
      <w:r w:rsidRPr="00D73DA3">
        <w:rPr>
          <w:sz w:val="22"/>
          <w:szCs w:val="22"/>
          <w:lang w:val="es-ES"/>
        </w:rPr>
        <w:t>Cáp</w:t>
      </w:r>
      <w:proofErr w:type="spellEnd"/>
      <w:r w:rsidRPr="00D73DA3">
        <w:rPr>
          <w:sz w:val="22"/>
          <w:szCs w:val="22"/>
          <w:lang w:val="es-ES"/>
        </w:rPr>
        <w:t>. 2.</w:t>
      </w:r>
    </w:p>
  </w:footnote>
  <w:footnote w:id="20">
    <w:p w14:paraId="3CFA3634" w14:textId="77777777" w:rsidR="00D9226D" w:rsidRPr="00D73DA3" w:rsidRDefault="00D9226D" w:rsidP="00936C95">
      <w:pPr>
        <w:autoSpaceDE w:val="0"/>
        <w:autoSpaceDN w:val="0"/>
        <w:adjustRightInd w:val="0"/>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Bayle</w:t>
      </w:r>
      <w:proofErr w:type="spellEnd"/>
      <w:r w:rsidRPr="00D73DA3">
        <w:rPr>
          <w:sz w:val="22"/>
          <w:szCs w:val="22"/>
          <w:lang w:val="es-ES"/>
        </w:rPr>
        <w:t>, 1951:575-595.</w:t>
      </w:r>
    </w:p>
  </w:footnote>
  <w:footnote w:id="21">
    <w:p w14:paraId="65FE3F2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Dym, 2008.</w:t>
      </w:r>
    </w:p>
  </w:footnote>
  <w:footnote w:id="22">
    <w:p w14:paraId="65C8D7D0"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
        </w:rPr>
        <w:t xml:space="preserve">Real Orden, Junta Central, 22 de enero de 1809, en un bando del Capitán General Antonio González </w:t>
      </w:r>
      <w:proofErr w:type="spellStart"/>
      <w:r w:rsidRPr="00D73DA3">
        <w:rPr>
          <w:i/>
          <w:sz w:val="22"/>
          <w:szCs w:val="22"/>
          <w:lang w:val="es-ES"/>
        </w:rPr>
        <w:t>Mollinedo</w:t>
      </w:r>
      <w:proofErr w:type="spellEnd"/>
      <w:r w:rsidRPr="00D73DA3">
        <w:rPr>
          <w:i/>
          <w:sz w:val="22"/>
          <w:szCs w:val="22"/>
          <w:lang w:val="es-ES"/>
        </w:rPr>
        <w:t xml:space="preserve"> y Saravia, Guatemala del 30 de abril de 1809</w:t>
      </w:r>
      <w:r w:rsidRPr="00D73DA3">
        <w:rPr>
          <w:sz w:val="22"/>
          <w:szCs w:val="22"/>
          <w:lang w:val="es-ES"/>
        </w:rPr>
        <w:t>, AGCA B 1489-35717 Guatemala Ciudad, Libro de Elecciones, 1808-1820.</w:t>
      </w:r>
    </w:p>
  </w:footnote>
  <w:footnote w:id="23">
    <w:p w14:paraId="650C25F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Real Orden, Suprema Junta Central, 6 de octubre de 1809</w:t>
      </w:r>
      <w:r w:rsidRPr="00D73DA3">
        <w:rPr>
          <w:sz w:val="22"/>
          <w:szCs w:val="22"/>
          <w:lang w:val="es-ES_tradnl"/>
        </w:rPr>
        <w:t xml:space="preserve">, </w:t>
      </w:r>
      <w:proofErr w:type="spellStart"/>
      <w:r w:rsidRPr="00D73DA3">
        <w:rPr>
          <w:i/>
          <w:iCs/>
          <w:sz w:val="22"/>
          <w:szCs w:val="22"/>
          <w:lang w:val="es-ES_tradnl"/>
        </w:rPr>
        <w:t>Gazeta</w:t>
      </w:r>
      <w:proofErr w:type="spellEnd"/>
      <w:r w:rsidRPr="00D73DA3">
        <w:rPr>
          <w:i/>
          <w:iCs/>
          <w:sz w:val="22"/>
          <w:szCs w:val="22"/>
          <w:lang w:val="es-ES_tradnl"/>
        </w:rPr>
        <w:t xml:space="preserve"> de Guatemala, </w:t>
      </w:r>
      <w:r w:rsidRPr="00D73DA3">
        <w:rPr>
          <w:sz w:val="22"/>
          <w:szCs w:val="22"/>
          <w:lang w:val="es-ES_tradnl"/>
        </w:rPr>
        <w:t>7 de marzo 1810,</w:t>
      </w:r>
      <w:r w:rsidRPr="00D73DA3">
        <w:rPr>
          <w:i/>
          <w:iCs/>
          <w:sz w:val="22"/>
          <w:szCs w:val="22"/>
          <w:lang w:val="es-ES_tradnl"/>
        </w:rPr>
        <w:t xml:space="preserve"> </w:t>
      </w:r>
      <w:r w:rsidRPr="00D73DA3">
        <w:rPr>
          <w:sz w:val="22"/>
          <w:szCs w:val="22"/>
          <w:lang w:val="es-ES_tradnl"/>
        </w:rPr>
        <w:t>279-80.</w:t>
      </w:r>
    </w:p>
  </w:footnote>
  <w:footnote w:id="24">
    <w:p w14:paraId="1E189786"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Véanse, la </w:t>
      </w:r>
      <w:proofErr w:type="spellStart"/>
      <w:r w:rsidRPr="00D73DA3">
        <w:rPr>
          <w:i/>
          <w:sz w:val="22"/>
          <w:szCs w:val="22"/>
          <w:lang w:val="es-ES_tradnl"/>
        </w:rPr>
        <w:t>Gazeta</w:t>
      </w:r>
      <w:proofErr w:type="spellEnd"/>
      <w:r w:rsidRPr="00D73DA3">
        <w:rPr>
          <w:i/>
          <w:sz w:val="22"/>
          <w:szCs w:val="22"/>
          <w:lang w:val="es-ES_tradnl"/>
        </w:rPr>
        <w:t xml:space="preserve"> de Guatemala </w:t>
      </w:r>
      <w:r w:rsidRPr="00D73DA3">
        <w:rPr>
          <w:iCs/>
          <w:sz w:val="22"/>
          <w:szCs w:val="22"/>
          <w:lang w:val="es-ES_tradnl"/>
        </w:rPr>
        <w:t>de</w:t>
      </w:r>
      <w:r w:rsidRPr="00D73DA3">
        <w:rPr>
          <w:sz w:val="22"/>
          <w:szCs w:val="22"/>
          <w:lang w:val="es-ES_tradnl"/>
        </w:rPr>
        <w:t xml:space="preserve"> 1810: para instrucciones e elecciones a la junta central: </w:t>
      </w:r>
      <w:proofErr w:type="spellStart"/>
      <w:r w:rsidRPr="00D73DA3">
        <w:rPr>
          <w:i/>
          <w:sz w:val="22"/>
          <w:szCs w:val="22"/>
          <w:lang w:val="es-ES"/>
        </w:rPr>
        <w:t>Gazeta</w:t>
      </w:r>
      <w:proofErr w:type="spellEnd"/>
      <w:r w:rsidRPr="00D73DA3">
        <w:rPr>
          <w:i/>
          <w:sz w:val="22"/>
          <w:szCs w:val="22"/>
          <w:lang w:val="es-ES"/>
        </w:rPr>
        <w:t xml:space="preserve"> de Guatemala, </w:t>
      </w:r>
      <w:r w:rsidRPr="00D73DA3">
        <w:rPr>
          <w:sz w:val="22"/>
          <w:szCs w:val="22"/>
          <w:lang w:val="es-ES"/>
        </w:rPr>
        <w:t>7 de marzo 1810, 277-282; para las Cortes: decreto, 14 de junio, 39;</w:t>
      </w:r>
      <w:r w:rsidRPr="00D73DA3">
        <w:rPr>
          <w:sz w:val="22"/>
          <w:szCs w:val="22"/>
          <w:lang w:val="es-ES_tradnl"/>
        </w:rPr>
        <w:t xml:space="preserve"> elecciones, 14 de julio (Chiapas), 114; 27 de julio and 3 de octubre (Guatemala), 140, 265-6; 7 de agosto (Cartago), 170; 10 de octubre (León), 270-1; 10 de noviembre (Granada), 313; 1 de diciembre (San Salvador), 371.</w:t>
      </w:r>
    </w:p>
  </w:footnote>
  <w:footnote w:id="25">
    <w:p w14:paraId="3079A4A8"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Dardón</w:t>
      </w:r>
      <w:proofErr w:type="spellEnd"/>
      <w:r w:rsidRPr="00D73DA3">
        <w:rPr>
          <w:sz w:val="22"/>
          <w:szCs w:val="22"/>
          <w:lang w:val="es-ES"/>
        </w:rPr>
        <w:t xml:space="preserve"> Flores, 2008.</w:t>
      </w:r>
    </w:p>
  </w:footnote>
  <w:footnote w:id="26">
    <w:p w14:paraId="45AE849E" w14:textId="77777777" w:rsidR="00D9226D" w:rsidRPr="00D73DA3" w:rsidRDefault="00D9226D" w:rsidP="00936C95">
      <w:pPr>
        <w:pStyle w:val="FootnoteText"/>
        <w:jc w:val="both"/>
        <w:rPr>
          <w:b/>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Guatemala Ciudad, Libro de Cabildo 1809, acta, 11-XI-1809; Guatemala Ciudad, Libro de Cabildo, 1810, acta, 24-VII-1810</w:t>
      </w:r>
      <w:r w:rsidRPr="00D73DA3">
        <w:rPr>
          <w:sz w:val="22"/>
          <w:szCs w:val="22"/>
          <w:lang w:val="es-ES_tradnl"/>
        </w:rPr>
        <w:t xml:space="preserve">, </w:t>
      </w:r>
      <w:r w:rsidRPr="00936C95">
        <w:rPr>
          <w:sz w:val="22"/>
          <w:szCs w:val="22"/>
          <w:lang w:val="es-ES"/>
        </w:rPr>
        <w:t>Al.2. 2188-15734 y 15735</w:t>
      </w:r>
      <w:r w:rsidRPr="00D73DA3">
        <w:rPr>
          <w:sz w:val="22"/>
          <w:szCs w:val="22"/>
          <w:lang w:val="es-ES"/>
        </w:rPr>
        <w:t xml:space="preserve">. </w:t>
      </w:r>
    </w:p>
  </w:footnote>
  <w:footnote w:id="27">
    <w:p w14:paraId="53227518" w14:textId="77777777" w:rsidR="00D9226D" w:rsidRPr="00D73DA3" w:rsidRDefault="00D9226D" w:rsidP="005B3D9E">
      <w:pPr>
        <w:pStyle w:val="FootnoteText"/>
        <w:rPr>
          <w:b/>
          <w:bCs/>
          <w:sz w:val="22"/>
          <w:szCs w:val="22"/>
          <w:lang w:val="es-ES_tradnl"/>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Real Orden, Junta Central, 22-I-1809; Decreto, Consejo de Regencia, 14-II-1810</w:t>
      </w:r>
      <w:r w:rsidRPr="00D73DA3">
        <w:rPr>
          <w:sz w:val="22"/>
          <w:szCs w:val="22"/>
          <w:lang w:val="es-ES"/>
        </w:rPr>
        <w:t>, Archivo Histórico de la Nobleza, Valencia, C.2, D. 38-39 (</w:t>
      </w:r>
      <w:hyperlink r:id="rId1" w:history="1">
        <w:proofErr w:type="gramStart"/>
        <w:r w:rsidRPr="00D73DA3">
          <w:rPr>
            <w:rStyle w:val="Hyperlink"/>
            <w:sz w:val="22"/>
            <w:szCs w:val="22"/>
            <w:lang w:val="es-ES"/>
          </w:rPr>
          <w:t>Link</w:t>
        </w:r>
        <w:proofErr w:type="gramEnd"/>
      </w:hyperlink>
      <w:r w:rsidRPr="00D73DA3">
        <w:rPr>
          <w:sz w:val="22"/>
          <w:szCs w:val="22"/>
          <w:lang w:val="es-ES"/>
        </w:rPr>
        <w:t xml:space="preserve">, </w:t>
      </w:r>
      <w:proofErr w:type="spellStart"/>
      <w:r w:rsidRPr="00D73DA3">
        <w:rPr>
          <w:sz w:val="22"/>
          <w:szCs w:val="22"/>
          <w:lang w:val="es-ES"/>
        </w:rPr>
        <w:t>seen</w:t>
      </w:r>
      <w:proofErr w:type="spellEnd"/>
      <w:r w:rsidRPr="00D73DA3">
        <w:rPr>
          <w:sz w:val="22"/>
          <w:szCs w:val="22"/>
          <w:lang w:val="es-ES"/>
        </w:rPr>
        <w:t xml:space="preserve"> </w:t>
      </w:r>
      <w:proofErr w:type="spellStart"/>
      <w:r w:rsidRPr="00D73DA3">
        <w:rPr>
          <w:sz w:val="22"/>
          <w:szCs w:val="22"/>
          <w:lang w:val="es-ES"/>
        </w:rPr>
        <w:t>July</w:t>
      </w:r>
      <w:proofErr w:type="spellEnd"/>
      <w:r w:rsidRPr="00D73DA3">
        <w:rPr>
          <w:sz w:val="22"/>
          <w:szCs w:val="22"/>
          <w:lang w:val="es-ES"/>
        </w:rPr>
        <w:t xml:space="preserve"> 8, 2020).</w:t>
      </w:r>
    </w:p>
  </w:footnote>
  <w:footnote w:id="28">
    <w:p w14:paraId="6BF2EF6F"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Decreto, Consejo de Regencia, 14 de febrero de 1810, Art. 16.</w:t>
      </w:r>
    </w:p>
  </w:footnote>
  <w:footnote w:id="29">
    <w:p w14:paraId="61D86DBB"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Dym, 2009: 99-118.  </w:t>
      </w:r>
    </w:p>
  </w:footnote>
  <w:footnote w:id="30">
    <w:p w14:paraId="46F69B3D"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Dym, 2006</w:t>
      </w:r>
      <w:r w:rsidRPr="00936C95">
        <w:rPr>
          <w:i/>
          <w:sz w:val="22"/>
          <w:szCs w:val="22"/>
          <w:lang w:val="es-ES"/>
        </w:rPr>
        <w:t xml:space="preserve">, </w:t>
      </w:r>
      <w:r>
        <w:rPr>
          <w:sz w:val="22"/>
          <w:szCs w:val="22"/>
          <w:lang w:val="es-ES"/>
        </w:rPr>
        <w:t>Capí</w:t>
      </w:r>
      <w:r w:rsidRPr="00936C95">
        <w:rPr>
          <w:sz w:val="22"/>
          <w:szCs w:val="22"/>
          <w:lang w:val="es-ES"/>
        </w:rPr>
        <w:t>tulo 3.</w:t>
      </w:r>
    </w:p>
  </w:footnote>
  <w:footnote w:id="31">
    <w:p w14:paraId="7DAE5A1C"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Real Orden, Junta Central, 22-I-1809; Decreto, Consejo de Regencia, 14-II-1810</w:t>
      </w:r>
      <w:r w:rsidRPr="00D73DA3">
        <w:rPr>
          <w:sz w:val="22"/>
          <w:szCs w:val="22"/>
          <w:lang w:val="es-ES"/>
        </w:rPr>
        <w:t>.</w:t>
      </w:r>
    </w:p>
  </w:footnote>
  <w:footnote w:id="32">
    <w:p w14:paraId="24C3D40B"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Dym, 2006:</w:t>
      </w:r>
      <w:r w:rsidRPr="00D73DA3">
        <w:rPr>
          <w:i/>
          <w:sz w:val="22"/>
          <w:szCs w:val="22"/>
          <w:lang w:val="es-ES_tradnl"/>
        </w:rPr>
        <w:t xml:space="preserve"> </w:t>
      </w:r>
      <w:r w:rsidRPr="00D73DA3">
        <w:rPr>
          <w:sz w:val="22"/>
          <w:szCs w:val="22"/>
          <w:lang w:val="es-ES_tradnl"/>
        </w:rPr>
        <w:t>78-79, y Obregón, 2000:</w:t>
      </w:r>
      <w:r w:rsidRPr="00D73DA3">
        <w:rPr>
          <w:i/>
          <w:sz w:val="22"/>
          <w:szCs w:val="22"/>
          <w:lang w:val="es-ES_tradnl"/>
        </w:rPr>
        <w:t xml:space="preserve"> </w:t>
      </w:r>
      <w:r w:rsidRPr="00D73DA3">
        <w:rPr>
          <w:sz w:val="22"/>
          <w:szCs w:val="22"/>
          <w:lang w:val="es-ES_tradnl"/>
        </w:rPr>
        <w:t>29.</w:t>
      </w:r>
    </w:p>
  </w:footnote>
  <w:footnote w:id="33">
    <w:p w14:paraId="07AA64D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i/>
          <w:sz w:val="22"/>
          <w:szCs w:val="22"/>
          <w:lang w:val="es-ES_tradnl"/>
        </w:rPr>
        <w:t>Gazeta</w:t>
      </w:r>
      <w:proofErr w:type="spellEnd"/>
      <w:r w:rsidRPr="00D73DA3">
        <w:rPr>
          <w:i/>
          <w:sz w:val="22"/>
          <w:szCs w:val="22"/>
          <w:lang w:val="es-ES_tradnl"/>
        </w:rPr>
        <w:t xml:space="preserve"> de Guatemala</w:t>
      </w:r>
      <w:r w:rsidRPr="00D73DA3">
        <w:rPr>
          <w:sz w:val="22"/>
          <w:szCs w:val="22"/>
          <w:lang w:val="es-ES_tradnl"/>
        </w:rPr>
        <w:t>, 7 de marzo 1810, 273.</w:t>
      </w:r>
    </w:p>
  </w:footnote>
  <w:footnote w:id="34">
    <w:p w14:paraId="2EEA6FF5" w14:textId="77777777" w:rsidR="00D9226D" w:rsidRPr="00D73DA3" w:rsidRDefault="00D9226D" w:rsidP="00936C95">
      <w:pPr>
        <w:pStyle w:val="FootnoteText"/>
        <w:jc w:val="both"/>
        <w:rPr>
          <w:b/>
          <w:sz w:val="22"/>
          <w:szCs w:val="22"/>
          <w:lang w:val="es-ES_tradnl"/>
        </w:rPr>
      </w:pPr>
      <w:r w:rsidRPr="00D73DA3">
        <w:rPr>
          <w:rStyle w:val="FootnoteReference"/>
          <w:sz w:val="22"/>
          <w:szCs w:val="22"/>
        </w:rPr>
        <w:footnoteRef/>
      </w:r>
      <w:r w:rsidRPr="00D73DA3">
        <w:rPr>
          <w:b/>
          <w:sz w:val="22"/>
          <w:szCs w:val="22"/>
          <w:lang w:val="es-ES_tradnl"/>
        </w:rPr>
        <w:t xml:space="preserve"> </w:t>
      </w:r>
      <w:r w:rsidRPr="00D73DA3">
        <w:rPr>
          <w:sz w:val="22"/>
          <w:szCs w:val="22"/>
          <w:lang w:val="es-ES_tradnl"/>
        </w:rPr>
        <w:t>Dym, 2008: 105-137.</w:t>
      </w:r>
    </w:p>
  </w:footnote>
  <w:footnote w:id="35">
    <w:p w14:paraId="72D5CF29"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Rodríguez, 1978.</w:t>
      </w:r>
    </w:p>
  </w:footnote>
  <w:footnote w:id="36">
    <w:p w14:paraId="0F794AD6"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España, Constitución Política de la Monarquía Española (1812) (Constitución de 1812), Arts. 37, 61.</w:t>
      </w:r>
    </w:p>
  </w:footnote>
  <w:footnote w:id="37">
    <w:p w14:paraId="3B38BFCC" w14:textId="77777777" w:rsidR="00D9226D" w:rsidRPr="00D73DA3" w:rsidRDefault="00D9226D" w:rsidP="00936C95">
      <w:pPr>
        <w:pStyle w:val="FootnoteText"/>
        <w:jc w:val="both"/>
        <w:rPr>
          <w:sz w:val="22"/>
          <w:szCs w:val="22"/>
        </w:rPr>
      </w:pPr>
      <w:r w:rsidRPr="00D73DA3">
        <w:rPr>
          <w:rStyle w:val="FootnoteReference"/>
          <w:sz w:val="22"/>
          <w:szCs w:val="22"/>
        </w:rPr>
        <w:footnoteRef/>
      </w:r>
      <w:r w:rsidRPr="00D73DA3">
        <w:rPr>
          <w:sz w:val="22"/>
          <w:szCs w:val="22"/>
        </w:rPr>
        <w:t xml:space="preserve"> Dym, </w:t>
      </w:r>
      <w:r w:rsidRPr="00D73DA3">
        <w:rPr>
          <w:i/>
          <w:sz w:val="22"/>
          <w:szCs w:val="22"/>
        </w:rPr>
        <w:t>From Sovereign Villages</w:t>
      </w:r>
      <w:r w:rsidRPr="00D73DA3">
        <w:rPr>
          <w:sz w:val="22"/>
          <w:szCs w:val="22"/>
        </w:rPr>
        <w:t>, Caps. 4 y 5.</w:t>
      </w:r>
    </w:p>
  </w:footnote>
  <w:footnote w:id="38">
    <w:p w14:paraId="0B22B69A" w14:textId="77777777" w:rsidR="00D9226D" w:rsidRPr="00D73DA3" w:rsidRDefault="00D9226D" w:rsidP="00936C95">
      <w:pPr>
        <w:pStyle w:val="FootnoteText"/>
        <w:jc w:val="both"/>
        <w:rPr>
          <w:sz w:val="22"/>
          <w:szCs w:val="22"/>
        </w:rPr>
      </w:pPr>
      <w:r w:rsidRPr="00D73DA3">
        <w:rPr>
          <w:rStyle w:val="FootnoteReference"/>
          <w:sz w:val="22"/>
          <w:szCs w:val="22"/>
        </w:rPr>
        <w:footnoteRef/>
      </w:r>
      <w:r w:rsidRPr="00D73DA3">
        <w:rPr>
          <w:sz w:val="22"/>
          <w:szCs w:val="22"/>
        </w:rPr>
        <w:t xml:space="preserve"> Dym, </w:t>
      </w:r>
      <w:r w:rsidRPr="00D73DA3">
        <w:rPr>
          <w:i/>
          <w:sz w:val="22"/>
          <w:szCs w:val="22"/>
        </w:rPr>
        <w:t xml:space="preserve">From Sovereign Villages, </w:t>
      </w:r>
      <w:r w:rsidRPr="00D73DA3">
        <w:rPr>
          <w:sz w:val="22"/>
          <w:szCs w:val="22"/>
        </w:rPr>
        <w:t>Cap. 5.</w:t>
      </w:r>
    </w:p>
  </w:footnote>
  <w:footnote w:id="39">
    <w:p w14:paraId="4DC3DBFB" w14:textId="77777777" w:rsidR="00D9226D" w:rsidRPr="00936C95" w:rsidRDefault="00D9226D" w:rsidP="00936C95">
      <w:pPr>
        <w:pStyle w:val="FootnoteText"/>
        <w:jc w:val="both"/>
        <w:rPr>
          <w:sz w:val="22"/>
          <w:szCs w:val="22"/>
        </w:rPr>
      </w:pPr>
      <w:r w:rsidRPr="00D73DA3">
        <w:rPr>
          <w:rStyle w:val="FootnoteReference"/>
          <w:sz w:val="22"/>
          <w:szCs w:val="22"/>
        </w:rPr>
        <w:footnoteRef/>
      </w:r>
      <w:r w:rsidRPr="00AE7871">
        <w:rPr>
          <w:sz w:val="22"/>
          <w:szCs w:val="22"/>
        </w:rPr>
        <w:t xml:space="preserve"> Dym, </w:t>
      </w:r>
      <w:r w:rsidRPr="00AE7871">
        <w:rPr>
          <w:i/>
          <w:sz w:val="22"/>
          <w:szCs w:val="22"/>
        </w:rPr>
        <w:t xml:space="preserve">From Sovereign </w:t>
      </w:r>
      <w:proofErr w:type="gramStart"/>
      <w:r w:rsidRPr="00AE7871">
        <w:rPr>
          <w:i/>
          <w:sz w:val="22"/>
          <w:szCs w:val="22"/>
        </w:rPr>
        <w:t>Villages </w:t>
      </w:r>
      <w:r w:rsidRPr="00AE7871">
        <w:rPr>
          <w:sz w:val="22"/>
          <w:szCs w:val="22"/>
        </w:rPr>
        <w:t>:</w:t>
      </w:r>
      <w:proofErr w:type="gramEnd"/>
      <w:r w:rsidRPr="00AE7871">
        <w:rPr>
          <w:sz w:val="22"/>
          <w:szCs w:val="22"/>
        </w:rPr>
        <w:t xml:space="preserve"> 128-138. </w:t>
      </w:r>
      <w:r w:rsidRPr="00936C95">
        <w:rPr>
          <w:sz w:val="22"/>
          <w:szCs w:val="22"/>
        </w:rPr>
        <w:t xml:space="preserve"> Dym, 2005: 257-283.</w:t>
      </w:r>
    </w:p>
  </w:footnote>
  <w:footnote w:id="40">
    <w:p w14:paraId="6DDB0233"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
        </w:rPr>
        <w:t>Dardón</w:t>
      </w:r>
      <w:proofErr w:type="spellEnd"/>
      <w:r w:rsidRPr="00D73DA3">
        <w:rPr>
          <w:sz w:val="22"/>
          <w:szCs w:val="22"/>
          <w:lang w:val="es-ES"/>
        </w:rPr>
        <w:t xml:space="preserve"> Flores, </w:t>
      </w:r>
      <w:r w:rsidRPr="00D73DA3">
        <w:rPr>
          <w:color w:val="080808"/>
          <w:sz w:val="22"/>
          <w:szCs w:val="22"/>
          <w:lang w:val="es-ES"/>
        </w:rPr>
        <w:t>1981: 48.</w:t>
      </w:r>
    </w:p>
    <w:p w14:paraId="05F04C73"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El Amigo de la Patria</w:t>
      </w:r>
      <w:r w:rsidRPr="00D73DA3">
        <w:rPr>
          <w:sz w:val="22"/>
          <w:szCs w:val="22"/>
          <w:lang w:val="es-ES"/>
        </w:rPr>
        <w:t>, no. 2, 26 de octubre de 1820</w:t>
      </w:r>
      <w:r w:rsidRPr="00D73DA3">
        <w:rPr>
          <w:sz w:val="22"/>
          <w:szCs w:val="22"/>
          <w:lang w:val="es-ES_tradnl"/>
        </w:rPr>
        <w:t>.</w:t>
      </w:r>
    </w:p>
  </w:footnote>
  <w:footnote w:id="41">
    <w:p w14:paraId="6EB19D3C"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i/>
          <w:sz w:val="22"/>
          <w:szCs w:val="22"/>
          <w:lang w:val="es-ES"/>
        </w:rPr>
        <w:t>Ibid</w:t>
      </w:r>
      <w:proofErr w:type="spellEnd"/>
      <w:r w:rsidRPr="00D73DA3">
        <w:rPr>
          <w:sz w:val="22"/>
          <w:szCs w:val="22"/>
          <w:lang w:val="es-ES"/>
        </w:rPr>
        <w:t xml:space="preserve">. </w:t>
      </w:r>
    </w:p>
  </w:footnote>
  <w:footnote w:id="42">
    <w:p w14:paraId="2EE9EF40"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w:t>
      </w:r>
      <w:proofErr w:type="spellStart"/>
      <w:r w:rsidRPr="00430011">
        <w:rPr>
          <w:i/>
          <w:lang w:val="es-ES"/>
        </w:rPr>
        <w:t>Juaquín</w:t>
      </w:r>
      <w:proofErr w:type="spellEnd"/>
      <w:r w:rsidRPr="00430011">
        <w:rPr>
          <w:i/>
          <w:lang w:val="es-ES"/>
        </w:rPr>
        <w:t xml:space="preserve"> </w:t>
      </w:r>
      <w:proofErr w:type="spellStart"/>
      <w:r w:rsidRPr="00430011">
        <w:rPr>
          <w:i/>
          <w:lang w:val="es-ES"/>
        </w:rPr>
        <w:t>Cham</w:t>
      </w:r>
      <w:proofErr w:type="spellEnd"/>
      <w:r w:rsidRPr="00430011">
        <w:rPr>
          <w:i/>
          <w:lang w:val="es-ES"/>
        </w:rPr>
        <w:t xml:space="preserve"> al Jefe Político Superior</w:t>
      </w:r>
      <w:r>
        <w:rPr>
          <w:lang w:val="es-ES"/>
        </w:rPr>
        <w:t>,</w:t>
      </w:r>
      <w:r w:rsidRPr="00430011">
        <w:rPr>
          <w:lang w:val="es-ES"/>
        </w:rPr>
        <w:t xml:space="preserve"> </w:t>
      </w:r>
      <w:r w:rsidRPr="00271871">
        <w:rPr>
          <w:lang w:val="es-ES"/>
        </w:rPr>
        <w:t>19-II-1822</w:t>
      </w:r>
      <w:r>
        <w:rPr>
          <w:lang w:val="es-ES"/>
        </w:rPr>
        <w:t xml:space="preserve">, </w:t>
      </w:r>
      <w:r w:rsidRPr="00271871">
        <w:rPr>
          <w:lang w:val="es-ES"/>
        </w:rPr>
        <w:t>AGCA B 730-2121,</w:t>
      </w:r>
    </w:p>
  </w:footnote>
  <w:footnote w:id="43">
    <w:p w14:paraId="5F8C25D1"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
        </w:rPr>
        <w:t>Dardón</w:t>
      </w:r>
      <w:proofErr w:type="spellEnd"/>
      <w:r w:rsidRPr="00D73DA3">
        <w:rPr>
          <w:sz w:val="22"/>
          <w:szCs w:val="22"/>
          <w:lang w:val="es-ES"/>
        </w:rPr>
        <w:t xml:space="preserve"> Flores, 2008, paras. 44-48, </w:t>
      </w:r>
      <w:r w:rsidRPr="00D73DA3">
        <w:rPr>
          <w:sz w:val="22"/>
          <w:szCs w:val="22"/>
          <w:lang w:val="es-ES_tradnl"/>
        </w:rPr>
        <w:t xml:space="preserve">encontró que </w:t>
      </w:r>
      <w:r w:rsidRPr="00D73DA3">
        <w:rPr>
          <w:sz w:val="22"/>
          <w:szCs w:val="22"/>
          <w:lang w:val="es-ES"/>
        </w:rPr>
        <w:t xml:space="preserve">6 de los 11 electores de parroquia Antigua, </w:t>
      </w:r>
      <w:proofErr w:type="spellStart"/>
      <w:r w:rsidRPr="00D73DA3">
        <w:rPr>
          <w:sz w:val="22"/>
          <w:szCs w:val="22"/>
          <w:lang w:val="es-ES"/>
        </w:rPr>
        <w:t>Sacatépquez</w:t>
      </w:r>
      <w:proofErr w:type="spellEnd"/>
      <w:r w:rsidRPr="00D73DA3">
        <w:rPr>
          <w:sz w:val="22"/>
          <w:szCs w:val="22"/>
          <w:lang w:val="es-ES"/>
        </w:rPr>
        <w:t xml:space="preserve"> Guatemala eran alcaldes de las aldeas.</w:t>
      </w:r>
    </w:p>
  </w:footnote>
  <w:footnote w:id="44">
    <w:p w14:paraId="1E93AC47" w14:textId="77777777" w:rsidR="00D9226D" w:rsidRPr="00AE7871" w:rsidRDefault="00D9226D" w:rsidP="00936C95">
      <w:pPr>
        <w:pStyle w:val="FootnoteText"/>
        <w:jc w:val="both"/>
        <w:rPr>
          <w:sz w:val="22"/>
          <w:szCs w:val="22"/>
          <w:lang w:val="es-ES_tradnl"/>
        </w:rPr>
      </w:pPr>
      <w:r w:rsidRPr="00D73DA3">
        <w:rPr>
          <w:rStyle w:val="FootnoteReference"/>
          <w:sz w:val="22"/>
          <w:szCs w:val="22"/>
        </w:rPr>
        <w:footnoteRef/>
      </w:r>
      <w:r w:rsidRPr="00AE7871">
        <w:rPr>
          <w:sz w:val="22"/>
          <w:szCs w:val="22"/>
          <w:lang w:val="es-ES_tradnl"/>
        </w:rPr>
        <w:t xml:space="preserve"> Obregón, 2000: 46. Dym, 2006</w:t>
      </w:r>
      <w:r w:rsidRPr="00AE7871">
        <w:rPr>
          <w:i/>
          <w:sz w:val="22"/>
          <w:szCs w:val="22"/>
          <w:lang w:val="es-ES_tradnl"/>
        </w:rPr>
        <w:t xml:space="preserve">, </w:t>
      </w:r>
      <w:r w:rsidRPr="00AE7871">
        <w:rPr>
          <w:sz w:val="22"/>
          <w:szCs w:val="22"/>
          <w:lang w:val="es-ES_tradnl"/>
        </w:rPr>
        <w:t>Cap. 7, esp. 128-131.</w:t>
      </w:r>
    </w:p>
  </w:footnote>
  <w:footnote w:id="45">
    <w:p w14:paraId="2244E21B"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AE7871">
        <w:rPr>
          <w:sz w:val="22"/>
          <w:szCs w:val="22"/>
          <w:lang w:val="es-ES_tradnl"/>
        </w:rPr>
        <w:t xml:space="preserve"> Dym, </w:t>
      </w:r>
      <w:proofErr w:type="spellStart"/>
      <w:r w:rsidRPr="00AE7871">
        <w:rPr>
          <w:i/>
          <w:sz w:val="22"/>
          <w:szCs w:val="22"/>
          <w:lang w:val="es-ES_tradnl"/>
        </w:rPr>
        <w:t>From</w:t>
      </w:r>
      <w:proofErr w:type="spellEnd"/>
      <w:r w:rsidRPr="00AE7871">
        <w:rPr>
          <w:i/>
          <w:sz w:val="22"/>
          <w:szCs w:val="22"/>
          <w:lang w:val="es-ES_tradnl"/>
        </w:rPr>
        <w:t xml:space="preserve"> </w:t>
      </w:r>
      <w:proofErr w:type="spellStart"/>
      <w:r w:rsidRPr="00AE7871">
        <w:rPr>
          <w:i/>
          <w:sz w:val="22"/>
          <w:szCs w:val="22"/>
          <w:lang w:val="es-ES_tradnl"/>
        </w:rPr>
        <w:t>Sovereign</w:t>
      </w:r>
      <w:proofErr w:type="spellEnd"/>
      <w:r w:rsidRPr="00AE7871">
        <w:rPr>
          <w:i/>
          <w:sz w:val="22"/>
          <w:szCs w:val="22"/>
          <w:lang w:val="es-ES_tradnl"/>
        </w:rPr>
        <w:t xml:space="preserve"> </w:t>
      </w:r>
      <w:proofErr w:type="spellStart"/>
      <w:r w:rsidRPr="00AE7871">
        <w:rPr>
          <w:i/>
          <w:sz w:val="22"/>
          <w:szCs w:val="22"/>
          <w:lang w:val="es-ES_tradnl"/>
        </w:rPr>
        <w:t>Villages</w:t>
      </w:r>
      <w:proofErr w:type="spellEnd"/>
      <w:r w:rsidRPr="00AE7871">
        <w:rPr>
          <w:i/>
          <w:sz w:val="22"/>
          <w:szCs w:val="22"/>
          <w:lang w:val="es-ES_tradnl"/>
        </w:rPr>
        <w:t xml:space="preserve">, </w:t>
      </w:r>
      <w:r w:rsidRPr="00AE7871">
        <w:rPr>
          <w:sz w:val="22"/>
          <w:szCs w:val="22"/>
          <w:lang w:val="es-ES_tradnl"/>
        </w:rPr>
        <w:t xml:space="preserve">Cap. 5. </w:t>
      </w:r>
      <w:r w:rsidRPr="00936C95">
        <w:rPr>
          <w:sz w:val="22"/>
          <w:szCs w:val="22"/>
          <w:lang w:val="es-ES"/>
        </w:rPr>
        <w:t xml:space="preserve">Avendaño Rojas, 1995. </w:t>
      </w:r>
    </w:p>
  </w:footnote>
  <w:footnote w:id="46">
    <w:p w14:paraId="47A2F62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Ayuntamiento de Tegucigalpa, Cuaderno de Actas, Elección, 13 de diciembre de 1812</w:t>
      </w:r>
      <w:r w:rsidRPr="00D73DA3">
        <w:rPr>
          <w:sz w:val="22"/>
          <w:szCs w:val="22"/>
          <w:lang w:val="es-ES"/>
        </w:rPr>
        <w:t xml:space="preserve">, Archivo Nacional de Honduras (ANH), Caja 107, # 3437, </w:t>
      </w:r>
      <w:proofErr w:type="spellStart"/>
      <w:r w:rsidRPr="00D73DA3">
        <w:rPr>
          <w:sz w:val="22"/>
          <w:szCs w:val="22"/>
          <w:lang w:val="es-ES"/>
        </w:rPr>
        <w:t>ff</w:t>
      </w:r>
      <w:proofErr w:type="spellEnd"/>
      <w:r w:rsidRPr="00D73DA3">
        <w:rPr>
          <w:sz w:val="22"/>
          <w:szCs w:val="22"/>
          <w:lang w:val="es-ES"/>
        </w:rPr>
        <w:t xml:space="preserve">. 126-127v.   Fernando VII ordenó en 1814 destruir las actas; la municipalidad las tachó. </w:t>
      </w:r>
      <w:r w:rsidRPr="00D73DA3">
        <w:rPr>
          <w:sz w:val="22"/>
          <w:szCs w:val="22"/>
          <w:lang w:val="es-ES_tradnl"/>
        </w:rPr>
        <w:t>El cuaderno no incluye la elección de electores.</w:t>
      </w:r>
    </w:p>
  </w:footnote>
  <w:footnote w:id="47">
    <w:p w14:paraId="51C94566" w14:textId="77777777" w:rsidR="00D9226D" w:rsidRPr="00D73DA3" w:rsidRDefault="00D9226D" w:rsidP="00936C95">
      <w:pPr>
        <w:pStyle w:val="FootnoteText"/>
        <w:jc w:val="both"/>
        <w:rPr>
          <w:sz w:val="22"/>
          <w:szCs w:val="22"/>
          <w:lang w:val="es-ES"/>
        </w:rPr>
      </w:pPr>
      <w:r w:rsidRPr="00D73DA3">
        <w:rPr>
          <w:rStyle w:val="FootnoteReference"/>
          <w:b/>
          <w:bCs/>
          <w:sz w:val="22"/>
          <w:szCs w:val="22"/>
        </w:rPr>
        <w:footnoteRef/>
      </w:r>
      <w:r w:rsidRPr="00D73DA3">
        <w:rPr>
          <w:b/>
          <w:bCs/>
          <w:sz w:val="22"/>
          <w:szCs w:val="22"/>
          <w:lang w:val="es-ES"/>
        </w:rPr>
        <w:t xml:space="preserve"> </w:t>
      </w:r>
      <w:r w:rsidRPr="00D73DA3">
        <w:rPr>
          <w:bCs/>
          <w:i/>
          <w:sz w:val="22"/>
          <w:szCs w:val="22"/>
          <w:lang w:val="es-ES"/>
        </w:rPr>
        <w:t>Capitán General/Jefe Político Superior Bustamante al diputado de Quetzaltenango José Cleto Montiel, 31 de enero de 1814</w:t>
      </w:r>
      <w:r w:rsidRPr="00D73DA3">
        <w:rPr>
          <w:i/>
          <w:sz w:val="22"/>
          <w:szCs w:val="22"/>
          <w:lang w:val="es-ES"/>
        </w:rPr>
        <w:t xml:space="preserve">, </w:t>
      </w:r>
      <w:r w:rsidRPr="00D73DA3">
        <w:rPr>
          <w:bCs/>
          <w:sz w:val="22"/>
          <w:szCs w:val="22"/>
          <w:lang w:val="es-ES"/>
        </w:rPr>
        <w:t>Archivo General de Indias (AGI), Guatemala 629.</w:t>
      </w:r>
      <w:r w:rsidRPr="00D73DA3">
        <w:rPr>
          <w:sz w:val="22"/>
          <w:szCs w:val="22"/>
          <w:lang w:val="es-ES"/>
        </w:rPr>
        <w:t xml:space="preserve"> </w:t>
      </w:r>
    </w:p>
  </w:footnote>
  <w:footnote w:id="48">
    <w:p w14:paraId="31784C19"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Caso de Ambrosio Sánchez, 24 de julio de 1820</w:t>
      </w:r>
      <w:r w:rsidRPr="00D73DA3">
        <w:rPr>
          <w:sz w:val="22"/>
          <w:szCs w:val="22"/>
          <w:lang w:val="es-ES"/>
        </w:rPr>
        <w:t xml:space="preserve">, AGCA, A1.2 </w:t>
      </w:r>
      <w:proofErr w:type="spellStart"/>
      <w:r w:rsidRPr="00D73DA3">
        <w:rPr>
          <w:sz w:val="22"/>
          <w:szCs w:val="22"/>
          <w:lang w:val="es-ES"/>
        </w:rPr>
        <w:t>Leg</w:t>
      </w:r>
      <w:proofErr w:type="spellEnd"/>
      <w:r w:rsidRPr="00D73DA3">
        <w:rPr>
          <w:sz w:val="22"/>
          <w:szCs w:val="22"/>
          <w:lang w:val="es-ES"/>
        </w:rPr>
        <w:t xml:space="preserve">. 44, </w:t>
      </w:r>
      <w:proofErr w:type="spellStart"/>
      <w:r w:rsidRPr="00D73DA3">
        <w:rPr>
          <w:sz w:val="22"/>
          <w:szCs w:val="22"/>
          <w:lang w:val="es-ES"/>
        </w:rPr>
        <w:t>Exp</w:t>
      </w:r>
      <w:proofErr w:type="spellEnd"/>
      <w:r w:rsidRPr="00D73DA3">
        <w:rPr>
          <w:sz w:val="22"/>
          <w:szCs w:val="22"/>
          <w:lang w:val="es-ES"/>
        </w:rPr>
        <w:t>. 1136.</w:t>
      </w:r>
    </w:p>
  </w:footnote>
  <w:footnote w:id="49">
    <w:p w14:paraId="6F0C2017" w14:textId="77777777" w:rsidR="00D9226D" w:rsidRPr="00D73DA3" w:rsidRDefault="00D9226D" w:rsidP="00936C95">
      <w:pPr>
        <w:pStyle w:val="FootnoteText"/>
        <w:jc w:val="both"/>
        <w:rPr>
          <w:b/>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Marure</w:t>
      </w:r>
      <w:proofErr w:type="spellEnd"/>
      <w:r w:rsidRPr="00D73DA3">
        <w:rPr>
          <w:sz w:val="22"/>
          <w:szCs w:val="22"/>
          <w:lang w:val="es-ES"/>
        </w:rPr>
        <w:t>,</w:t>
      </w:r>
      <w:r w:rsidRPr="00D73DA3">
        <w:rPr>
          <w:i/>
          <w:sz w:val="22"/>
          <w:szCs w:val="22"/>
          <w:lang w:val="es-ES"/>
        </w:rPr>
        <w:t xml:space="preserve"> </w:t>
      </w:r>
      <w:r w:rsidRPr="00D73DA3">
        <w:rPr>
          <w:iCs/>
          <w:sz w:val="22"/>
          <w:szCs w:val="22"/>
          <w:lang w:val="es-ES"/>
        </w:rPr>
        <w:t>1960 [1837])</w:t>
      </w:r>
      <w:r w:rsidRPr="00D73DA3">
        <w:rPr>
          <w:sz w:val="22"/>
          <w:szCs w:val="22"/>
          <w:lang w:val="es-ES"/>
        </w:rPr>
        <w:t xml:space="preserve">, I:122; </w:t>
      </w:r>
      <w:r w:rsidRPr="00D73DA3">
        <w:rPr>
          <w:i/>
          <w:sz w:val="22"/>
          <w:szCs w:val="22"/>
          <w:lang w:val="es-ES"/>
        </w:rPr>
        <w:t xml:space="preserve">El Amigo de la Patria </w:t>
      </w:r>
      <w:r w:rsidRPr="00D73DA3">
        <w:rPr>
          <w:sz w:val="22"/>
          <w:szCs w:val="22"/>
          <w:lang w:val="es-ES"/>
        </w:rPr>
        <w:t xml:space="preserve">y </w:t>
      </w:r>
      <w:r w:rsidRPr="00D73DA3">
        <w:rPr>
          <w:i/>
          <w:sz w:val="22"/>
          <w:szCs w:val="22"/>
          <w:lang w:val="es-ES"/>
        </w:rPr>
        <w:t>El Editor Constitucional</w:t>
      </w:r>
      <w:r w:rsidRPr="00D73DA3">
        <w:rPr>
          <w:sz w:val="22"/>
          <w:szCs w:val="22"/>
          <w:lang w:val="es-ES"/>
        </w:rPr>
        <w:t>.</w:t>
      </w:r>
    </w:p>
  </w:footnote>
  <w:footnote w:id="50">
    <w:p w14:paraId="3F37F75C"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w:t>
      </w:r>
      <w:proofErr w:type="spellStart"/>
      <w:r w:rsidRPr="00936C95">
        <w:rPr>
          <w:sz w:val="22"/>
          <w:szCs w:val="22"/>
          <w:lang w:val="es-ES"/>
        </w:rPr>
        <w:t>Woodward</w:t>
      </w:r>
      <w:proofErr w:type="spellEnd"/>
      <w:r w:rsidRPr="00936C95">
        <w:rPr>
          <w:sz w:val="22"/>
          <w:szCs w:val="22"/>
          <w:lang w:val="es-ES"/>
        </w:rPr>
        <w:t xml:space="preserve">, Jr., 1965: 561-562; </w:t>
      </w:r>
      <w:proofErr w:type="spellStart"/>
      <w:r w:rsidRPr="00936C95">
        <w:rPr>
          <w:sz w:val="22"/>
          <w:szCs w:val="22"/>
          <w:lang w:val="es-ES"/>
        </w:rPr>
        <w:t>Marure</w:t>
      </w:r>
      <w:proofErr w:type="spellEnd"/>
      <w:r w:rsidRPr="00936C95">
        <w:rPr>
          <w:sz w:val="22"/>
          <w:szCs w:val="22"/>
          <w:lang w:val="es-ES"/>
        </w:rPr>
        <w:t>, 1960[1837], I:58-</w:t>
      </w:r>
      <w:r w:rsidRPr="00936C95">
        <w:rPr>
          <w:bCs/>
          <w:sz w:val="22"/>
          <w:szCs w:val="22"/>
          <w:lang w:val="es-ES"/>
        </w:rPr>
        <w:t>60</w:t>
      </w:r>
      <w:r w:rsidRPr="00936C95">
        <w:rPr>
          <w:sz w:val="22"/>
          <w:szCs w:val="22"/>
          <w:lang w:val="es-ES"/>
        </w:rPr>
        <w:t>.</w:t>
      </w:r>
    </w:p>
  </w:footnote>
  <w:footnote w:id="51">
    <w:p w14:paraId="61195891"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_tradnl"/>
        </w:rPr>
        <w:t>Woodward</w:t>
      </w:r>
      <w:proofErr w:type="spellEnd"/>
      <w:r w:rsidRPr="00D73DA3">
        <w:rPr>
          <w:sz w:val="22"/>
          <w:szCs w:val="22"/>
          <w:lang w:val="es-ES_tradnl"/>
        </w:rPr>
        <w:t xml:space="preserve">, Jr., 1965: 565, imagina los orígenes de partidos políticos en estas elecciones municipales sin mencionar la formación de organizaciones formales. </w:t>
      </w:r>
    </w:p>
  </w:footnote>
  <w:footnote w:id="52">
    <w:p w14:paraId="24678BD8" w14:textId="77777777" w:rsidR="00D9226D" w:rsidRPr="00D73DA3" w:rsidRDefault="00D9226D" w:rsidP="00936C95">
      <w:pPr>
        <w:pStyle w:val="FootnoteText"/>
        <w:jc w:val="both"/>
        <w:rPr>
          <w:i/>
          <w:sz w:val="22"/>
          <w:szCs w:val="22"/>
          <w:lang w:val="es-ES"/>
        </w:rPr>
      </w:pPr>
      <w:r w:rsidRPr="00D73DA3">
        <w:rPr>
          <w:rStyle w:val="FootnoteReference"/>
          <w:sz w:val="22"/>
          <w:szCs w:val="22"/>
        </w:rPr>
        <w:footnoteRef/>
      </w:r>
      <w:r w:rsidRPr="00D73DA3">
        <w:rPr>
          <w:sz w:val="22"/>
          <w:szCs w:val="22"/>
          <w:lang w:val="es-ES"/>
        </w:rPr>
        <w:t xml:space="preserve"> Dym, 2006,</w:t>
      </w:r>
      <w:r w:rsidRPr="00D73DA3">
        <w:rPr>
          <w:i/>
          <w:sz w:val="22"/>
          <w:szCs w:val="22"/>
          <w:lang w:val="es-ES"/>
        </w:rPr>
        <w:t xml:space="preserve"> </w:t>
      </w:r>
      <w:r w:rsidRPr="00D73DA3">
        <w:rPr>
          <w:sz w:val="22"/>
          <w:szCs w:val="22"/>
          <w:lang w:val="es-ES"/>
        </w:rPr>
        <w:t xml:space="preserve">Cap. 6.  </w:t>
      </w:r>
      <w:r w:rsidRPr="00D73DA3">
        <w:rPr>
          <w:i/>
          <w:sz w:val="22"/>
          <w:szCs w:val="22"/>
          <w:lang w:val="es-ES"/>
        </w:rPr>
        <w:t>Acta de la Unión de las Provincias de Centro América al Imperio Mexicano, 5 de enero de 1822</w:t>
      </w:r>
      <w:r w:rsidRPr="00D73DA3">
        <w:rPr>
          <w:sz w:val="22"/>
          <w:szCs w:val="22"/>
          <w:lang w:val="es-ES"/>
        </w:rPr>
        <w:t>, en Luján Muñoz</w:t>
      </w:r>
      <w:r w:rsidRPr="00D73DA3">
        <w:rPr>
          <w:i/>
          <w:sz w:val="22"/>
          <w:szCs w:val="22"/>
          <w:lang w:val="es-ES"/>
        </w:rPr>
        <w:t xml:space="preserve">, </w:t>
      </w:r>
      <w:r w:rsidRPr="00D73DA3">
        <w:rPr>
          <w:sz w:val="22"/>
          <w:szCs w:val="22"/>
          <w:lang w:val="es-ES"/>
        </w:rPr>
        <w:t>1982: 171–75. Heliodoro Valle, ed., 1924-1949, II:24–27.</w:t>
      </w:r>
    </w:p>
  </w:footnote>
  <w:footnote w:id="53">
    <w:p w14:paraId="336C96CA"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w:t>
      </w:r>
      <w:proofErr w:type="spellStart"/>
      <w:r w:rsidRPr="00936C95">
        <w:rPr>
          <w:sz w:val="22"/>
          <w:szCs w:val="22"/>
          <w:lang w:val="es-ES"/>
        </w:rPr>
        <w:t>Belaubre</w:t>
      </w:r>
      <w:proofErr w:type="spellEnd"/>
      <w:r w:rsidRPr="00936C95">
        <w:rPr>
          <w:sz w:val="22"/>
          <w:szCs w:val="22"/>
          <w:lang w:val="es-ES"/>
        </w:rPr>
        <w:t xml:space="preserve">, 2011, </w:t>
      </w:r>
      <w:r w:rsidRPr="00D73DA3">
        <w:rPr>
          <w:sz w:val="22"/>
          <w:szCs w:val="22"/>
          <w:lang w:val="es-ES"/>
        </w:rPr>
        <w:t xml:space="preserve">ofrece una metodología llamativa para imaginar la ciudadanía de los que observan y no </w:t>
      </w:r>
      <w:proofErr w:type="spellStart"/>
      <w:r w:rsidRPr="00D73DA3">
        <w:rPr>
          <w:sz w:val="22"/>
          <w:szCs w:val="22"/>
          <w:lang w:val="es-ES"/>
        </w:rPr>
        <w:t>actuan</w:t>
      </w:r>
      <w:proofErr w:type="spellEnd"/>
      <w:r w:rsidRPr="00D73DA3">
        <w:rPr>
          <w:sz w:val="22"/>
          <w:szCs w:val="22"/>
          <w:lang w:val="es-ES"/>
        </w:rPr>
        <w:t xml:space="preserve"> directamente en las actas independentistas en Guatemala Ciudad.</w:t>
      </w:r>
      <w:r w:rsidRPr="00936C95">
        <w:rPr>
          <w:sz w:val="22"/>
          <w:szCs w:val="22"/>
          <w:lang w:val="es-ES"/>
        </w:rPr>
        <w:t xml:space="preserve"> </w:t>
      </w:r>
    </w:p>
  </w:footnote>
  <w:footnote w:id="54">
    <w:p w14:paraId="67E19B7F"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Marure</w:t>
      </w:r>
      <w:proofErr w:type="spellEnd"/>
      <w:r w:rsidRPr="00D73DA3">
        <w:rPr>
          <w:sz w:val="22"/>
          <w:szCs w:val="22"/>
          <w:lang w:val="es-ES"/>
        </w:rPr>
        <w:t xml:space="preserve">, </w:t>
      </w:r>
      <w:r w:rsidRPr="00D73DA3">
        <w:rPr>
          <w:i/>
          <w:sz w:val="22"/>
          <w:szCs w:val="22"/>
          <w:lang w:val="es-ES"/>
        </w:rPr>
        <w:t>1960</w:t>
      </w:r>
      <w:r>
        <w:rPr>
          <w:i/>
          <w:sz w:val="22"/>
          <w:szCs w:val="22"/>
          <w:lang w:val="es-ES"/>
        </w:rPr>
        <w:t xml:space="preserve"> </w:t>
      </w:r>
      <w:r w:rsidRPr="00D73DA3">
        <w:rPr>
          <w:sz w:val="22"/>
          <w:szCs w:val="22"/>
          <w:lang w:val="es-ES"/>
        </w:rPr>
        <w:t>[1837]: I:85.</w:t>
      </w:r>
    </w:p>
  </w:footnote>
  <w:footnote w:id="55">
    <w:p w14:paraId="5517485A"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Rodríguez, </w:t>
      </w:r>
      <w:r w:rsidRPr="00D73DA3">
        <w:rPr>
          <w:iCs/>
          <w:sz w:val="22"/>
          <w:szCs w:val="22"/>
          <w:lang w:val="es-ES"/>
        </w:rPr>
        <w:t>1978</w:t>
      </w:r>
      <w:r w:rsidRPr="00D73DA3">
        <w:rPr>
          <w:sz w:val="22"/>
          <w:szCs w:val="22"/>
          <w:lang w:val="es-ES"/>
        </w:rPr>
        <w:t>.</w:t>
      </w:r>
    </w:p>
  </w:footnote>
  <w:footnote w:id="56">
    <w:p w14:paraId="793F9024"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Centroamérica, Constitución Federal, 1824, Artículos 1, 8; Costa Rica (1825), Art. 35.</w:t>
      </w:r>
    </w:p>
  </w:footnote>
  <w:footnote w:id="57">
    <w:p w14:paraId="1689A10D" w14:textId="77777777" w:rsidR="00D9226D" w:rsidRPr="00D73DA3" w:rsidRDefault="00D9226D" w:rsidP="00936C95">
      <w:pPr>
        <w:pStyle w:val="FootnoteText"/>
        <w:jc w:val="both"/>
        <w:rPr>
          <w:b/>
          <w:bCs/>
          <w:sz w:val="22"/>
          <w:szCs w:val="22"/>
          <w:lang w:val="es-ES_tradnl"/>
        </w:rPr>
      </w:pPr>
      <w:r w:rsidRPr="00D73DA3">
        <w:rPr>
          <w:rStyle w:val="FootnoteReference"/>
          <w:b/>
          <w:bCs/>
          <w:sz w:val="22"/>
          <w:szCs w:val="22"/>
        </w:rPr>
        <w:footnoteRef/>
      </w:r>
      <w:r w:rsidRPr="00D73DA3">
        <w:rPr>
          <w:b/>
          <w:bCs/>
          <w:sz w:val="22"/>
          <w:szCs w:val="22"/>
          <w:lang w:val="es-ES_tradnl"/>
        </w:rPr>
        <w:t xml:space="preserve"> </w:t>
      </w:r>
      <w:r w:rsidRPr="00D73DA3">
        <w:rPr>
          <w:bCs/>
          <w:sz w:val="22"/>
          <w:szCs w:val="22"/>
          <w:lang w:val="es-ES_tradnl"/>
        </w:rPr>
        <w:t>Francia estableció un ‘</w:t>
      </w:r>
      <w:proofErr w:type="spellStart"/>
      <w:r w:rsidRPr="00D73DA3">
        <w:rPr>
          <w:bCs/>
          <w:sz w:val="22"/>
          <w:szCs w:val="22"/>
          <w:lang w:val="es-ES_tradnl"/>
        </w:rPr>
        <w:t>sénat</w:t>
      </w:r>
      <w:proofErr w:type="spellEnd"/>
      <w:r w:rsidRPr="00D73DA3">
        <w:rPr>
          <w:bCs/>
          <w:sz w:val="22"/>
          <w:szCs w:val="22"/>
          <w:lang w:val="es-ES_tradnl"/>
        </w:rPr>
        <w:t xml:space="preserve"> </w:t>
      </w:r>
      <w:proofErr w:type="spellStart"/>
      <w:r w:rsidRPr="00D73DA3">
        <w:rPr>
          <w:bCs/>
          <w:sz w:val="22"/>
          <w:szCs w:val="22"/>
          <w:lang w:val="es-ES_tradnl"/>
        </w:rPr>
        <w:t>conservateur</w:t>
      </w:r>
      <w:proofErr w:type="spellEnd"/>
      <w:r w:rsidRPr="00D73DA3">
        <w:rPr>
          <w:bCs/>
          <w:sz w:val="22"/>
          <w:szCs w:val="22"/>
          <w:lang w:val="es-ES_tradnl"/>
        </w:rPr>
        <w:t>’ en 1791 que atrajo los legisladores centroamericanos; la constitución chilena de 1822 parece el la única de la época imaginando la reelección directa del poder ejecutivo</w:t>
      </w:r>
      <w:r>
        <w:rPr>
          <w:bCs/>
          <w:sz w:val="22"/>
          <w:szCs w:val="22"/>
          <w:lang w:val="es-ES_tradnl"/>
        </w:rPr>
        <w:t xml:space="preserve"> (Artículo 81)</w:t>
      </w:r>
      <w:r w:rsidRPr="00D73DA3">
        <w:rPr>
          <w:bCs/>
          <w:sz w:val="22"/>
          <w:szCs w:val="22"/>
          <w:lang w:val="es-ES_tradnl"/>
        </w:rPr>
        <w:t xml:space="preserve">. </w:t>
      </w:r>
    </w:p>
  </w:footnote>
  <w:footnote w:id="58">
    <w:p w14:paraId="38F43FD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España, Constitución de 1812, Art. 25.6. </w:t>
      </w:r>
      <w:r w:rsidRPr="00D73DA3">
        <w:rPr>
          <w:i/>
          <w:sz w:val="22"/>
          <w:szCs w:val="22"/>
          <w:lang w:val="es-ES_tradnl"/>
        </w:rPr>
        <w:t>ANC, Proposición, 17-VII-1823</w:t>
      </w:r>
      <w:r w:rsidRPr="00D73DA3">
        <w:rPr>
          <w:sz w:val="22"/>
          <w:szCs w:val="22"/>
          <w:lang w:val="es-ES_tradnl"/>
        </w:rPr>
        <w:t>, AGCA B 91-2453, f. 1.</w:t>
      </w:r>
    </w:p>
  </w:footnote>
  <w:footnote w:id="59">
    <w:p w14:paraId="0D413BCD"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Centroamérica, Constitución Federal (1824), Art. 53; Costa Rica (1826), Art. 35.</w:t>
      </w:r>
    </w:p>
  </w:footnote>
  <w:footnote w:id="60">
    <w:p w14:paraId="1A9FD927"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Centroamérica, Constitución Federal (1824), </w:t>
      </w:r>
      <w:proofErr w:type="spellStart"/>
      <w:r w:rsidRPr="00D73DA3">
        <w:rPr>
          <w:sz w:val="22"/>
          <w:szCs w:val="22"/>
          <w:lang w:val="es-ES_tradnl"/>
        </w:rPr>
        <w:t>Tit</w:t>
      </w:r>
      <w:proofErr w:type="spellEnd"/>
      <w:r w:rsidRPr="00D73DA3">
        <w:rPr>
          <w:sz w:val="22"/>
          <w:szCs w:val="22"/>
          <w:lang w:val="es-ES_tradnl"/>
        </w:rPr>
        <w:t xml:space="preserve">. </w:t>
      </w:r>
      <w:r w:rsidRPr="00AE7871">
        <w:rPr>
          <w:sz w:val="22"/>
          <w:szCs w:val="22"/>
          <w:lang w:val="es-ES_tradnl"/>
        </w:rPr>
        <w:t xml:space="preserve">X; Guatemala (1825), </w:t>
      </w:r>
      <w:proofErr w:type="spellStart"/>
      <w:r w:rsidRPr="00AE7871">
        <w:rPr>
          <w:sz w:val="22"/>
          <w:szCs w:val="22"/>
          <w:lang w:val="es-ES_tradnl"/>
        </w:rPr>
        <w:t>Tit</w:t>
      </w:r>
      <w:proofErr w:type="spellEnd"/>
      <w:r w:rsidRPr="00AE7871">
        <w:rPr>
          <w:sz w:val="22"/>
          <w:szCs w:val="22"/>
          <w:lang w:val="es-ES_tradnl"/>
        </w:rPr>
        <w:t xml:space="preserve">. III; Nicaragua (1826), </w:t>
      </w:r>
      <w:proofErr w:type="spellStart"/>
      <w:r w:rsidRPr="00AE7871">
        <w:rPr>
          <w:sz w:val="22"/>
          <w:szCs w:val="22"/>
          <w:lang w:val="es-ES_tradnl"/>
        </w:rPr>
        <w:t>Tit</w:t>
      </w:r>
      <w:proofErr w:type="spellEnd"/>
      <w:r w:rsidRPr="00AE7871">
        <w:rPr>
          <w:sz w:val="22"/>
          <w:szCs w:val="22"/>
          <w:lang w:val="es-ES_tradnl"/>
        </w:rPr>
        <w:t xml:space="preserve">. </w:t>
      </w:r>
      <w:r w:rsidRPr="00D73DA3">
        <w:rPr>
          <w:sz w:val="22"/>
          <w:szCs w:val="22"/>
          <w:lang w:val="es-ES_tradnl"/>
        </w:rPr>
        <w:t xml:space="preserve">V; Costa Rica (1825), </w:t>
      </w:r>
      <w:proofErr w:type="spellStart"/>
      <w:r w:rsidRPr="00D73DA3">
        <w:rPr>
          <w:sz w:val="22"/>
          <w:szCs w:val="22"/>
          <w:lang w:val="es-ES_tradnl"/>
        </w:rPr>
        <w:t>Cáp</w:t>
      </w:r>
      <w:proofErr w:type="spellEnd"/>
      <w:r w:rsidRPr="00D73DA3">
        <w:rPr>
          <w:sz w:val="22"/>
          <w:szCs w:val="22"/>
          <w:lang w:val="es-ES_tradnl"/>
        </w:rPr>
        <w:t xml:space="preserve">. 5; solo Costa Rica estableció procesos distintos para elecciones federales y estatales. </w:t>
      </w:r>
    </w:p>
  </w:footnote>
  <w:footnote w:id="61">
    <w:p w14:paraId="015A710F"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ANC, 8-10-VII-1824, Proposición, 8-VII-1824</w:t>
      </w:r>
      <w:r w:rsidRPr="00D73DA3">
        <w:rPr>
          <w:sz w:val="22"/>
          <w:szCs w:val="22"/>
          <w:lang w:val="es-ES_tradnl"/>
        </w:rPr>
        <w:t>, AGCA, B. 91-2465, f. 4.</w:t>
      </w:r>
    </w:p>
  </w:footnote>
  <w:footnote w:id="62">
    <w:p w14:paraId="05AFEF4B"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Constituciones: Federal (1825), Art. 102; El Salvador (1824), Art. 35.6; Guatemala (1825), Art. 127, Honduras (1825), Art 38.5; Nicaragua (1826), Art. 99.5.</w:t>
      </w:r>
    </w:p>
  </w:footnote>
  <w:footnote w:id="63">
    <w:p w14:paraId="497BD57B"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_tradnl"/>
        </w:rPr>
        <w:t>Marure</w:t>
      </w:r>
      <w:proofErr w:type="spellEnd"/>
      <w:r w:rsidRPr="00D73DA3">
        <w:rPr>
          <w:sz w:val="22"/>
          <w:szCs w:val="22"/>
          <w:lang w:val="es-ES_tradnl"/>
        </w:rPr>
        <w:t xml:space="preserve">, 1960[1837], I:202-203, describe el debate sobre las instituciones estatales entre federalistas (conservadores) y centralistas (liberales).  También hubo ‘largas y acaloradas discusiones’ sobre la manera de elegir jueces; “la excesiva extensión que se daba al derecho electoral” and los limites en el poder ejecutivo con los excesos del poder legislativo. </w:t>
      </w:r>
    </w:p>
  </w:footnote>
  <w:footnote w:id="64">
    <w:p w14:paraId="2EB9AEBA"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Parker, 1952: 533-4.  </w:t>
      </w:r>
    </w:p>
  </w:footnote>
  <w:footnote w:id="65">
    <w:p w14:paraId="2470E466"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Avendaño Rojas, 2007</w:t>
      </w:r>
      <w:r w:rsidRPr="00D73DA3">
        <w:rPr>
          <w:i/>
          <w:sz w:val="22"/>
          <w:szCs w:val="22"/>
          <w:lang w:val="es-ES"/>
        </w:rPr>
        <w:t xml:space="preserve">. </w:t>
      </w:r>
      <w:r w:rsidRPr="00D73DA3">
        <w:rPr>
          <w:sz w:val="22"/>
          <w:szCs w:val="22"/>
          <w:lang w:val="es-ES"/>
        </w:rPr>
        <w:t>Obregón, 2000.</w:t>
      </w:r>
    </w:p>
  </w:footnote>
  <w:footnote w:id="66">
    <w:p w14:paraId="19F6D3D4"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
        </w:rPr>
        <w:t xml:space="preserve"> Avendaño Rojas, 2007, sugiere que hubo concurrencia para servir en las juntas electorales, y que los ganadores influyeron en las elecciones.  La propuesta es muy llamativa, pero no ofrece citas ni ejemplos concretos en ese libro que podrían confirmar.</w:t>
      </w:r>
    </w:p>
  </w:footnote>
  <w:footnote w:id="67">
    <w:p w14:paraId="2D293D64"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Avendaño Rojas, 2007, 166.</w:t>
      </w:r>
    </w:p>
  </w:footnote>
  <w:footnote w:id="68">
    <w:p w14:paraId="2224E2D9"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
        </w:rPr>
        <w:t xml:space="preserve"> </w:t>
      </w:r>
      <w:r w:rsidRPr="007F7575">
        <w:rPr>
          <w:i/>
          <w:sz w:val="22"/>
          <w:szCs w:val="22"/>
          <w:lang w:val="es-ES"/>
        </w:rPr>
        <w:t>Guatemala</w:t>
      </w:r>
      <w:r w:rsidRPr="00D73DA3">
        <w:rPr>
          <w:i/>
          <w:sz w:val="22"/>
          <w:szCs w:val="22"/>
          <w:lang w:val="es-ES"/>
        </w:rPr>
        <w:t>, Libro de Elecciones, 1821-1830</w:t>
      </w:r>
      <w:r w:rsidRPr="00D73DA3">
        <w:rPr>
          <w:sz w:val="22"/>
          <w:szCs w:val="22"/>
          <w:lang w:val="es-ES"/>
        </w:rPr>
        <w:t xml:space="preserve">, AGCA, B 1489-35717. </w:t>
      </w:r>
      <w:r w:rsidRPr="00D73DA3">
        <w:rPr>
          <w:sz w:val="22"/>
          <w:szCs w:val="22"/>
          <w:lang w:val="es-ES_tradnl"/>
        </w:rPr>
        <w:t>En leyendo libros de elecciones para estos pueblos, no encontré problemas notados en la mayoría de casos.  En 1822, un regidor dijo haber recibido una carta anónima denunciando un elector como menor de edad y inelegible para servir; la junta discutió y rechazo la alegación.  Para un caso costarricense, véase Obregón, 2000.</w:t>
      </w:r>
    </w:p>
  </w:footnote>
  <w:footnote w:id="69">
    <w:p w14:paraId="7C1F572D"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
        </w:rPr>
        <w:t>Libro de Elecciones, 1821-1830, Archivo Municipal de Sonsonate</w:t>
      </w:r>
      <w:r w:rsidRPr="00D73DA3">
        <w:rPr>
          <w:sz w:val="22"/>
          <w:szCs w:val="22"/>
          <w:lang w:val="es-ES"/>
        </w:rPr>
        <w:t>.</w:t>
      </w:r>
    </w:p>
  </w:footnote>
  <w:footnote w:id="70">
    <w:p w14:paraId="596049F7"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Guatemala, Elecciones, 1837</w:t>
      </w:r>
      <w:r w:rsidRPr="00D73DA3">
        <w:rPr>
          <w:sz w:val="22"/>
          <w:szCs w:val="22"/>
          <w:lang w:val="es-ES"/>
        </w:rPr>
        <w:t xml:space="preserve">, </w:t>
      </w:r>
      <w:proofErr w:type="spellStart"/>
      <w:r w:rsidRPr="00D73DA3">
        <w:rPr>
          <w:sz w:val="22"/>
          <w:szCs w:val="22"/>
          <w:lang w:val="es-ES"/>
        </w:rPr>
        <w:t>ff</w:t>
      </w:r>
      <w:proofErr w:type="spellEnd"/>
      <w:r w:rsidRPr="00D73DA3">
        <w:rPr>
          <w:sz w:val="22"/>
          <w:szCs w:val="22"/>
          <w:lang w:val="es-ES"/>
        </w:rPr>
        <w:t>. 9-11, AGCA, C1 L 204, E 5479.</w:t>
      </w:r>
    </w:p>
  </w:footnote>
  <w:footnote w:id="71">
    <w:p w14:paraId="5E0262DE" w14:textId="77777777" w:rsidR="00D9226D" w:rsidRPr="00D73DA3" w:rsidRDefault="00D9226D" w:rsidP="00936C95">
      <w:pPr>
        <w:autoSpaceDE w:val="0"/>
        <w:autoSpaceDN w:val="0"/>
        <w:adjustRightInd w:val="0"/>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i/>
          <w:sz w:val="22"/>
          <w:szCs w:val="22"/>
          <w:lang w:val="es-ES"/>
        </w:rPr>
        <w:t>Ibidem</w:t>
      </w:r>
      <w:proofErr w:type="spellEnd"/>
      <w:r w:rsidRPr="00D73DA3">
        <w:rPr>
          <w:i/>
          <w:sz w:val="22"/>
          <w:szCs w:val="22"/>
          <w:lang w:val="es-ES"/>
        </w:rPr>
        <w:t xml:space="preserve">. </w:t>
      </w:r>
      <w:r w:rsidRPr="00D73DA3">
        <w:rPr>
          <w:sz w:val="22"/>
          <w:szCs w:val="22"/>
          <w:lang w:val="es-ES"/>
        </w:rPr>
        <w:t xml:space="preserve">ff. 5-6v.  </w:t>
      </w:r>
    </w:p>
  </w:footnote>
  <w:footnote w:id="72">
    <w:p w14:paraId="1C97CC32"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Reglamento Electoral de la República Federal de Centroamérica</w:t>
      </w:r>
      <w:r w:rsidRPr="00D73DA3">
        <w:rPr>
          <w:sz w:val="22"/>
          <w:szCs w:val="22"/>
          <w:lang w:val="es-ES_tradnl"/>
        </w:rPr>
        <w:t>, 31-III-1826, en Esgueva Gómez, 1995: 232-242.</w:t>
      </w:r>
    </w:p>
  </w:footnote>
  <w:footnote w:id="73">
    <w:p w14:paraId="06816313"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Véase por ejemplo Guatemala, Constitución (1824), Art. 166 (1824) y El Salvador, Reglamento de Jefes Políticos y Municipalidades (1832), Art. 54-55.</w:t>
      </w:r>
    </w:p>
  </w:footnote>
  <w:footnote w:id="74">
    <w:p w14:paraId="2CC27944"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Guatemala, Libro de Elecciones, 1821-1830</w:t>
      </w:r>
      <w:r w:rsidRPr="00D73DA3">
        <w:rPr>
          <w:sz w:val="22"/>
          <w:szCs w:val="22"/>
          <w:lang w:val="es-ES_tradnl"/>
        </w:rPr>
        <w:t xml:space="preserve">, </w:t>
      </w:r>
      <w:r w:rsidRPr="00D73DA3">
        <w:rPr>
          <w:i/>
          <w:sz w:val="22"/>
          <w:szCs w:val="22"/>
          <w:lang w:val="es-ES_tradnl"/>
        </w:rPr>
        <w:t>3-III, 8-IV, 19-VI-1824</w:t>
      </w:r>
      <w:r w:rsidRPr="00D73DA3">
        <w:rPr>
          <w:sz w:val="22"/>
          <w:szCs w:val="22"/>
          <w:lang w:val="es-ES_tradnl"/>
        </w:rPr>
        <w:t xml:space="preserve">, AGCA, B 1489-35717, </w:t>
      </w:r>
      <w:proofErr w:type="spellStart"/>
      <w:r w:rsidRPr="00D73DA3">
        <w:rPr>
          <w:sz w:val="22"/>
          <w:szCs w:val="22"/>
          <w:lang w:val="es-ES_tradnl"/>
        </w:rPr>
        <w:t>ff</w:t>
      </w:r>
      <w:proofErr w:type="spellEnd"/>
      <w:r w:rsidRPr="00D73DA3">
        <w:rPr>
          <w:sz w:val="22"/>
          <w:szCs w:val="22"/>
          <w:lang w:val="es-ES_tradnl"/>
        </w:rPr>
        <w:t>.  21v-23, 26v.  Solo ocurrieron 13 electores en la última sesión.</w:t>
      </w:r>
    </w:p>
  </w:footnote>
  <w:footnote w:id="75">
    <w:p w14:paraId="3BB2E35F"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Guatemala, Libro de Elecciones, 1821-1830</w:t>
      </w:r>
      <w:r w:rsidRPr="00D73DA3">
        <w:rPr>
          <w:sz w:val="22"/>
          <w:szCs w:val="22"/>
          <w:lang w:val="es-ES_tradnl"/>
        </w:rPr>
        <w:t xml:space="preserve">, AGCA B 1489-35717, </w:t>
      </w:r>
      <w:proofErr w:type="spellStart"/>
      <w:r w:rsidRPr="00D73DA3">
        <w:rPr>
          <w:sz w:val="22"/>
          <w:szCs w:val="22"/>
          <w:lang w:val="es-ES_tradnl"/>
        </w:rPr>
        <w:t>ff</w:t>
      </w:r>
      <w:proofErr w:type="spellEnd"/>
      <w:r w:rsidRPr="00D73DA3">
        <w:rPr>
          <w:sz w:val="22"/>
          <w:szCs w:val="22"/>
          <w:lang w:val="es-ES_tradnl"/>
        </w:rPr>
        <w:t>. 29-39v.  Según Art. 166 de la Constitución de Guatemala (1825), los ciudadanos eligieron los electores, quienes anualmente eligieran a los miembros del ayuntamiento.  La constitución no especificó un número fijo o proporción para decidir el número de electores.</w:t>
      </w:r>
    </w:p>
  </w:footnote>
  <w:footnote w:id="76">
    <w:p w14:paraId="58C979CB" w14:textId="77777777" w:rsidR="00D9226D" w:rsidRPr="00E6210E" w:rsidRDefault="00D9226D" w:rsidP="00936C95">
      <w:pPr>
        <w:pStyle w:val="FootnoteText"/>
        <w:jc w:val="both"/>
        <w:rPr>
          <w:lang w:val="es-ES"/>
        </w:rPr>
      </w:pPr>
      <w:r w:rsidRPr="00D73DA3">
        <w:rPr>
          <w:rStyle w:val="FootnoteReference"/>
          <w:sz w:val="22"/>
          <w:szCs w:val="22"/>
        </w:rPr>
        <w:footnoteRef/>
      </w:r>
      <w:r w:rsidRPr="00D73DA3">
        <w:rPr>
          <w:sz w:val="22"/>
          <w:szCs w:val="22"/>
          <w:lang w:val="es-ES_tradnl"/>
        </w:rPr>
        <w:t xml:space="preserve"> </w:t>
      </w:r>
      <w:r w:rsidRPr="00E6210E">
        <w:rPr>
          <w:sz w:val="22"/>
          <w:szCs w:val="22"/>
          <w:lang w:val="es-ES_tradnl"/>
        </w:rPr>
        <w:t>Dym, 1997-2006.</w:t>
      </w:r>
      <w:r>
        <w:rPr>
          <w:lang w:val="es-ES"/>
        </w:rPr>
        <w:t xml:space="preserve"> L</w:t>
      </w:r>
      <w:r w:rsidRPr="007044E3">
        <w:rPr>
          <w:lang w:val="es-ES"/>
        </w:rPr>
        <w:t xml:space="preserve">as actas municipales y los registros electorales sobrevivientes, que cubren los años entre 1824 a 1850, enumeran concejales ausentes, renuncias y nombramientos para cargos estatales desde directores de carreteras hasta mandatarios y jueces. </w:t>
      </w:r>
      <w:r w:rsidRPr="00D73DA3">
        <w:rPr>
          <w:sz w:val="22"/>
          <w:szCs w:val="22"/>
          <w:lang w:val="es-ES_tradnl"/>
        </w:rPr>
        <w:t>Las fuentes, elecciones, son de la AGCA, Archivo Municipal de Sonsonate, Archivo Nacional de Honduras, y Archivo Municipal de Tegucigalpa.  Véase Dym, 2006, Apéndice G, una tabla de puestos estatales y federales ocupados por miembros de estos cabildos en 1821, 1830 y 1840.</w:t>
      </w:r>
    </w:p>
  </w:footnote>
  <w:footnote w:id="77">
    <w:p w14:paraId="4452491F"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r w:rsidRPr="00D73DA3">
        <w:rPr>
          <w:i/>
          <w:sz w:val="22"/>
          <w:szCs w:val="22"/>
          <w:lang w:val="es-ES_tradnl"/>
        </w:rPr>
        <w:t>Libros de elecciones, 1822-1830</w:t>
      </w:r>
      <w:r w:rsidRPr="00D73DA3">
        <w:rPr>
          <w:sz w:val="22"/>
          <w:szCs w:val="22"/>
          <w:lang w:val="es-ES_tradnl"/>
        </w:rPr>
        <w:t xml:space="preserve">, Archivo Municipal de Antigua, Guatemala; </w:t>
      </w:r>
      <w:proofErr w:type="spellStart"/>
      <w:r w:rsidRPr="00D73DA3">
        <w:rPr>
          <w:sz w:val="22"/>
          <w:szCs w:val="22"/>
          <w:lang w:val="es-ES_tradnl"/>
        </w:rPr>
        <w:t>Juarros</w:t>
      </w:r>
      <w:proofErr w:type="spellEnd"/>
      <w:r>
        <w:rPr>
          <w:sz w:val="22"/>
          <w:szCs w:val="22"/>
          <w:lang w:val="es-ES_tradnl"/>
        </w:rPr>
        <w:t>, 1981[1808-1818]</w:t>
      </w:r>
      <w:r w:rsidRPr="00D73DA3">
        <w:rPr>
          <w:sz w:val="22"/>
          <w:szCs w:val="22"/>
          <w:lang w:val="es-ES_tradnl"/>
        </w:rPr>
        <w:t>, 48.</w:t>
      </w:r>
    </w:p>
  </w:footnote>
  <w:footnote w:id="78">
    <w:p w14:paraId="23CC0514"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i/>
          <w:sz w:val="22"/>
          <w:szCs w:val="22"/>
          <w:lang w:val="es-ES_tradnl"/>
        </w:rPr>
        <w:t>Ibid</w:t>
      </w:r>
      <w:proofErr w:type="spellEnd"/>
      <w:r w:rsidRPr="00D73DA3">
        <w:rPr>
          <w:sz w:val="22"/>
          <w:szCs w:val="22"/>
          <w:lang w:val="es-ES_tradnl"/>
        </w:rPr>
        <w:t xml:space="preserve">. </w:t>
      </w:r>
      <w:proofErr w:type="spellStart"/>
      <w:r w:rsidRPr="00D73DA3">
        <w:rPr>
          <w:sz w:val="22"/>
          <w:szCs w:val="22"/>
          <w:lang w:val="es-ES_tradnl"/>
        </w:rPr>
        <w:t>Juarros</w:t>
      </w:r>
      <w:proofErr w:type="spellEnd"/>
      <w:r w:rsidRPr="00D73DA3">
        <w:rPr>
          <w:sz w:val="22"/>
          <w:szCs w:val="22"/>
          <w:lang w:val="es-ES_tradnl"/>
        </w:rPr>
        <w:t xml:space="preserve">, </w:t>
      </w:r>
      <w:proofErr w:type="spellStart"/>
      <w:r w:rsidRPr="00D73DA3">
        <w:rPr>
          <w:i/>
          <w:sz w:val="22"/>
          <w:szCs w:val="22"/>
          <w:lang w:val="es-ES_tradnl"/>
        </w:rPr>
        <w:t>Ibidem</w:t>
      </w:r>
      <w:proofErr w:type="spellEnd"/>
      <w:r w:rsidRPr="00D73DA3">
        <w:rPr>
          <w:i/>
          <w:sz w:val="22"/>
          <w:szCs w:val="22"/>
          <w:lang w:val="es-ES_tradnl"/>
        </w:rPr>
        <w:t>,</w:t>
      </w:r>
      <w:r w:rsidRPr="00D73DA3">
        <w:rPr>
          <w:sz w:val="22"/>
          <w:szCs w:val="22"/>
          <w:lang w:val="es-ES_tradnl"/>
        </w:rPr>
        <w:t xml:space="preserve"> 19, indicó 441 </w:t>
      </w:r>
      <w:proofErr w:type="gramStart"/>
      <w:r w:rsidRPr="00D73DA3">
        <w:rPr>
          <w:sz w:val="22"/>
          <w:szCs w:val="22"/>
          <w:lang w:val="es-ES_tradnl"/>
        </w:rPr>
        <w:t>Españoles</w:t>
      </w:r>
      <w:proofErr w:type="gramEnd"/>
      <w:r w:rsidRPr="00D73DA3">
        <w:rPr>
          <w:sz w:val="22"/>
          <w:szCs w:val="22"/>
          <w:lang w:val="es-ES_tradnl"/>
        </w:rPr>
        <w:t xml:space="preserve">, 2795 ladinos and 185 Indios ca.1800.  En 1853, según </w:t>
      </w:r>
      <w:proofErr w:type="spellStart"/>
      <w:r w:rsidRPr="00D73DA3">
        <w:rPr>
          <w:i/>
          <w:sz w:val="22"/>
          <w:szCs w:val="22"/>
          <w:lang w:val="es-ES_tradnl"/>
        </w:rPr>
        <w:t>Estadistica</w:t>
      </w:r>
      <w:proofErr w:type="spellEnd"/>
      <w:r w:rsidRPr="00D73DA3">
        <w:rPr>
          <w:i/>
          <w:sz w:val="22"/>
          <w:szCs w:val="22"/>
          <w:lang w:val="es-ES_tradnl"/>
        </w:rPr>
        <w:t xml:space="preserve"> de la Ciudad de Sonsonate</w:t>
      </w:r>
      <w:r w:rsidRPr="00D73DA3">
        <w:rPr>
          <w:sz w:val="22"/>
          <w:szCs w:val="22"/>
          <w:lang w:val="es-ES_tradnl"/>
        </w:rPr>
        <w:t xml:space="preserve">… ,1853, la municipalidad tenía 4472 residentes en tres cantones electorales.  Según reglas salvadoreñas de 1832 y las bases demográficas de la Constitución de 1812, Sonsonate merecía alrededor de 40 electores.  </w:t>
      </w:r>
    </w:p>
  </w:footnote>
  <w:footnote w:id="79">
    <w:p w14:paraId="64EB896F" w14:textId="77777777" w:rsidR="00D9226D" w:rsidRPr="00D73DA3" w:rsidRDefault="00D9226D" w:rsidP="00936C95">
      <w:pPr>
        <w:widowControl w:val="0"/>
        <w:autoSpaceDE w:val="0"/>
        <w:autoSpaceDN w:val="0"/>
        <w:adjustRightInd w:val="0"/>
        <w:jc w:val="both"/>
        <w:rPr>
          <w:sz w:val="22"/>
          <w:szCs w:val="22"/>
          <w:lang w:val="es-ES_tradnl"/>
        </w:rPr>
      </w:pPr>
      <w:r w:rsidRPr="00D73DA3">
        <w:rPr>
          <w:rStyle w:val="FootnoteReference"/>
          <w:sz w:val="22"/>
          <w:szCs w:val="22"/>
        </w:rPr>
        <w:footnoteRef/>
      </w:r>
      <w:r w:rsidRPr="00D73DA3">
        <w:rPr>
          <w:sz w:val="22"/>
          <w:szCs w:val="22"/>
          <w:lang w:val="es-ES_tradnl"/>
        </w:rPr>
        <w:t xml:space="preserve"> AGCA, C 111-3261, Elecciones populares del Estado de Guatemala para el año de 1829; y C1 114-3251 y 114- 3258 tabulan los resultados de elecciones para el presidente y corte suprema federales, y 114-3457 y -3457 tabulan el ejecutivo y jueces estatales.</w:t>
      </w:r>
    </w:p>
  </w:footnote>
  <w:footnote w:id="80">
    <w:p w14:paraId="3B0457DE"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Sonsonate, Libro de Elecciones</w:t>
      </w:r>
      <w:r w:rsidRPr="00D73DA3">
        <w:rPr>
          <w:sz w:val="22"/>
          <w:szCs w:val="22"/>
          <w:lang w:val="es-ES"/>
        </w:rPr>
        <w:t>, Archivo Municipal de Sonsonate, Caja Elecciones, 1821-1839.</w:t>
      </w:r>
    </w:p>
  </w:footnote>
  <w:footnote w:id="81">
    <w:p w14:paraId="30ABB2BF"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Pinto Soria,</w:t>
      </w:r>
      <w:r w:rsidRPr="00D73DA3">
        <w:rPr>
          <w:b/>
          <w:bCs/>
          <w:sz w:val="22"/>
          <w:szCs w:val="22"/>
          <w:lang w:val="es-ES"/>
        </w:rPr>
        <w:t xml:space="preserve"> </w:t>
      </w:r>
      <w:r w:rsidRPr="00D73DA3">
        <w:rPr>
          <w:sz w:val="22"/>
          <w:szCs w:val="22"/>
          <w:lang w:val="es-ES"/>
        </w:rPr>
        <w:t>1997</w:t>
      </w:r>
      <w:r w:rsidRPr="00D73DA3">
        <w:rPr>
          <w:b/>
          <w:bCs/>
          <w:sz w:val="22"/>
          <w:szCs w:val="22"/>
          <w:lang w:val="es-ES"/>
        </w:rPr>
        <w:t xml:space="preserve">: </w:t>
      </w:r>
      <w:r w:rsidRPr="00D73DA3">
        <w:rPr>
          <w:sz w:val="22"/>
          <w:szCs w:val="22"/>
          <w:lang w:val="es-ES"/>
        </w:rPr>
        <w:t>5-6, 23-27.</w:t>
      </w:r>
    </w:p>
  </w:footnote>
  <w:footnote w:id="82">
    <w:p w14:paraId="45F50DB9"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Guatemala, Estatuto de la Instrucción Primaria, Art. 67, 31 de agosto de 1835</w:t>
      </w:r>
      <w:r w:rsidRPr="00D73DA3">
        <w:rPr>
          <w:sz w:val="22"/>
          <w:szCs w:val="22"/>
          <w:lang w:val="es-ES"/>
        </w:rPr>
        <w:t>, citado en Pinto Soria, 1997, 13, n. 21.</w:t>
      </w:r>
    </w:p>
  </w:footnote>
  <w:footnote w:id="83">
    <w:p w14:paraId="651C3EDB" w14:textId="77777777" w:rsidR="00D9226D" w:rsidRPr="00D73DA3" w:rsidRDefault="00D9226D" w:rsidP="00936C95">
      <w:pPr>
        <w:spacing w:line="240" w:lineRule="atLeast"/>
        <w:jc w:val="both"/>
        <w:rPr>
          <w:sz w:val="22"/>
          <w:szCs w:val="22"/>
          <w:lang w:val="es-ES_tradnl"/>
        </w:rPr>
      </w:pPr>
      <w:r w:rsidRPr="00D73DA3">
        <w:rPr>
          <w:rStyle w:val="FootnoteReference"/>
          <w:sz w:val="22"/>
          <w:szCs w:val="22"/>
        </w:rPr>
        <w:footnoteRef/>
      </w:r>
      <w:r w:rsidRPr="00AE7871">
        <w:rPr>
          <w:sz w:val="22"/>
          <w:szCs w:val="22"/>
          <w:lang w:val="es-ES"/>
        </w:rPr>
        <w:t xml:space="preserve"> </w:t>
      </w:r>
      <w:proofErr w:type="spellStart"/>
      <w:r w:rsidRPr="00AE7871">
        <w:rPr>
          <w:sz w:val="22"/>
          <w:szCs w:val="22"/>
          <w:lang w:val="es-ES"/>
        </w:rPr>
        <w:t>Alda</w:t>
      </w:r>
      <w:proofErr w:type="spellEnd"/>
      <w:r w:rsidRPr="00AE7871">
        <w:rPr>
          <w:sz w:val="22"/>
          <w:szCs w:val="22"/>
          <w:lang w:val="es-ES"/>
        </w:rPr>
        <w:t xml:space="preserve"> Mejías, 2004b: 125-152, esp. 140, 145-149.  </w:t>
      </w:r>
      <w:proofErr w:type="spellStart"/>
      <w:r w:rsidRPr="00D73DA3">
        <w:rPr>
          <w:sz w:val="22"/>
          <w:szCs w:val="22"/>
          <w:lang w:val="es-ES_tradnl"/>
        </w:rPr>
        <w:t>Alda</w:t>
      </w:r>
      <w:proofErr w:type="spellEnd"/>
      <w:r w:rsidRPr="00D73DA3">
        <w:rPr>
          <w:sz w:val="22"/>
          <w:szCs w:val="22"/>
          <w:lang w:val="es-ES_tradnl"/>
        </w:rPr>
        <w:t xml:space="preserve"> Mejías, 2002</w:t>
      </w:r>
      <w:r w:rsidRPr="00D73DA3">
        <w:rPr>
          <w:rStyle w:val="result-small1"/>
          <w:sz w:val="22"/>
          <w:szCs w:val="22"/>
          <w:lang w:val="es-ES_tradnl"/>
        </w:rPr>
        <w:t>.</w:t>
      </w:r>
    </w:p>
  </w:footnote>
  <w:footnote w:id="84">
    <w:p w14:paraId="07A450CC"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AGCA, ANC, Proposición, 1824 B 91-2461, f. 14.  </w:t>
      </w:r>
      <w:proofErr w:type="spellStart"/>
      <w:r w:rsidRPr="00D73DA3">
        <w:rPr>
          <w:sz w:val="22"/>
          <w:szCs w:val="22"/>
          <w:lang w:val="es-ES_tradnl"/>
        </w:rPr>
        <w:t>Cordova</w:t>
      </w:r>
      <w:proofErr w:type="spellEnd"/>
      <w:r w:rsidRPr="00D73DA3">
        <w:rPr>
          <w:sz w:val="22"/>
          <w:szCs w:val="22"/>
          <w:lang w:val="es-ES_tradnl"/>
        </w:rPr>
        <w:t xml:space="preserve">, 4-III- 1824. En 1824, José Francisco </w:t>
      </w:r>
      <w:proofErr w:type="spellStart"/>
      <w:r w:rsidRPr="00D73DA3">
        <w:rPr>
          <w:sz w:val="22"/>
          <w:szCs w:val="22"/>
          <w:lang w:val="es-ES_tradnl"/>
        </w:rPr>
        <w:t>Cordova</w:t>
      </w:r>
      <w:proofErr w:type="spellEnd"/>
      <w:r w:rsidRPr="00D73DA3">
        <w:rPr>
          <w:sz w:val="22"/>
          <w:szCs w:val="22"/>
          <w:lang w:val="es-ES_tradnl"/>
        </w:rPr>
        <w:t xml:space="preserve"> pidió que la Asamblea examine las “actas de elección” de los pueblos de San Francisco y San </w:t>
      </w:r>
      <w:proofErr w:type="spellStart"/>
      <w:r w:rsidRPr="00D73DA3">
        <w:rPr>
          <w:sz w:val="22"/>
          <w:szCs w:val="22"/>
          <w:lang w:val="es-ES_tradnl"/>
        </w:rPr>
        <w:t>Cristoval</w:t>
      </w:r>
      <w:proofErr w:type="spellEnd"/>
      <w:r w:rsidRPr="00D73DA3">
        <w:rPr>
          <w:sz w:val="22"/>
          <w:szCs w:val="22"/>
          <w:lang w:val="es-ES_tradnl"/>
        </w:rPr>
        <w:t xml:space="preserve"> (Totonicapán) para estas fines.</w:t>
      </w:r>
    </w:p>
  </w:footnote>
  <w:footnote w:id="85">
    <w:p w14:paraId="45BC518A"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w:t>
      </w:r>
      <w:proofErr w:type="spellStart"/>
      <w:r w:rsidRPr="00936C95">
        <w:rPr>
          <w:bCs/>
          <w:sz w:val="22"/>
          <w:szCs w:val="22"/>
          <w:lang w:val="es-ES"/>
        </w:rPr>
        <w:t>Grandin</w:t>
      </w:r>
      <w:proofErr w:type="spellEnd"/>
      <w:r w:rsidRPr="00936C95">
        <w:rPr>
          <w:bCs/>
          <w:sz w:val="22"/>
          <w:szCs w:val="22"/>
          <w:lang w:val="es-ES"/>
        </w:rPr>
        <w:t>, 1997: 211-243, esp. 216 y 229</w:t>
      </w:r>
      <w:r w:rsidRPr="00936C95">
        <w:rPr>
          <w:sz w:val="22"/>
          <w:szCs w:val="22"/>
          <w:lang w:val="es-ES"/>
        </w:rPr>
        <w:t>.</w:t>
      </w:r>
    </w:p>
  </w:footnote>
  <w:footnote w:id="86">
    <w:p w14:paraId="6490F425"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_tradnl"/>
        </w:rPr>
        <w:t>Taracena</w:t>
      </w:r>
      <w:proofErr w:type="spellEnd"/>
      <w:r w:rsidRPr="00D73DA3">
        <w:rPr>
          <w:sz w:val="22"/>
          <w:szCs w:val="22"/>
          <w:lang w:val="es-ES_tradnl"/>
        </w:rPr>
        <w:t xml:space="preserve"> Arriola, 1997: 310–15; cita, 315.</w:t>
      </w:r>
    </w:p>
  </w:footnote>
  <w:footnote w:id="87">
    <w:p w14:paraId="27F3278E"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Constitución de los Estados Unidos de América, 1789,  Art. II, Sección 1, y </w:t>
      </w:r>
      <w:proofErr w:type="spellStart"/>
      <w:r w:rsidRPr="00D73DA3">
        <w:rPr>
          <w:sz w:val="22"/>
          <w:szCs w:val="22"/>
          <w:lang w:val="es-ES_tradnl"/>
        </w:rPr>
        <w:t>Twelfth</w:t>
      </w:r>
      <w:proofErr w:type="spellEnd"/>
      <w:r w:rsidRPr="00D73DA3">
        <w:rPr>
          <w:sz w:val="22"/>
          <w:szCs w:val="22"/>
          <w:lang w:val="es-ES_tradnl"/>
        </w:rPr>
        <w:t xml:space="preserve"> </w:t>
      </w:r>
      <w:proofErr w:type="spellStart"/>
      <w:r w:rsidRPr="00D73DA3">
        <w:rPr>
          <w:sz w:val="22"/>
          <w:szCs w:val="22"/>
          <w:lang w:val="es-ES_tradnl"/>
        </w:rPr>
        <w:t>Amendment</w:t>
      </w:r>
      <w:proofErr w:type="spellEnd"/>
      <w:r w:rsidRPr="00D73DA3">
        <w:rPr>
          <w:sz w:val="22"/>
          <w:szCs w:val="22"/>
          <w:lang w:val="es-ES_tradnl"/>
        </w:rPr>
        <w:t xml:space="preserve">. En 1825, la </w:t>
      </w:r>
      <w:proofErr w:type="spellStart"/>
      <w:r w:rsidRPr="00D73DA3">
        <w:rPr>
          <w:sz w:val="22"/>
          <w:szCs w:val="22"/>
          <w:lang w:val="es-ES_tradnl"/>
        </w:rPr>
        <w:t>Camara</w:t>
      </w:r>
      <w:proofErr w:type="spellEnd"/>
      <w:r w:rsidRPr="00D73DA3">
        <w:rPr>
          <w:sz w:val="22"/>
          <w:szCs w:val="22"/>
          <w:lang w:val="es-ES_tradnl"/>
        </w:rPr>
        <w:t xml:space="preserve"> de Representantes eligió a John Quincy Adams presidente.</w:t>
      </w:r>
    </w:p>
  </w:footnote>
  <w:footnote w:id="88">
    <w:p w14:paraId="36412C95" w14:textId="77777777" w:rsidR="00D9226D" w:rsidRPr="00AE7871" w:rsidRDefault="00D9226D" w:rsidP="00936C95">
      <w:pPr>
        <w:pStyle w:val="FootnoteText"/>
        <w:jc w:val="both"/>
        <w:rPr>
          <w:sz w:val="22"/>
          <w:szCs w:val="22"/>
          <w:lang w:val="pt-BR"/>
        </w:rPr>
      </w:pPr>
      <w:r w:rsidRPr="00D73DA3">
        <w:rPr>
          <w:rStyle w:val="FootnoteReference"/>
          <w:sz w:val="22"/>
          <w:szCs w:val="22"/>
        </w:rPr>
        <w:footnoteRef/>
      </w:r>
      <w:r w:rsidRPr="00AE7871">
        <w:rPr>
          <w:sz w:val="22"/>
          <w:szCs w:val="22"/>
          <w:lang w:val="pt-BR"/>
        </w:rPr>
        <w:t xml:space="preserve"> Woodward, Jr., 1993: 29.</w:t>
      </w:r>
    </w:p>
  </w:footnote>
  <w:footnote w:id="89">
    <w:p w14:paraId="7D581A3B"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AE7871">
        <w:rPr>
          <w:sz w:val="22"/>
          <w:szCs w:val="22"/>
          <w:lang w:val="pt-BR"/>
        </w:rPr>
        <w:t xml:space="preserve"> </w:t>
      </w:r>
      <w:proofErr w:type="spellStart"/>
      <w:r w:rsidRPr="00AE7871">
        <w:rPr>
          <w:sz w:val="22"/>
          <w:szCs w:val="22"/>
          <w:lang w:val="pt-BR"/>
        </w:rPr>
        <w:t>Marure</w:t>
      </w:r>
      <w:proofErr w:type="spellEnd"/>
      <w:r w:rsidRPr="00AE7871">
        <w:rPr>
          <w:sz w:val="22"/>
          <w:szCs w:val="22"/>
          <w:lang w:val="pt-BR"/>
        </w:rPr>
        <w:t xml:space="preserve">, </w:t>
      </w:r>
      <w:r w:rsidRPr="00AE7871">
        <w:rPr>
          <w:i/>
          <w:sz w:val="22"/>
          <w:szCs w:val="22"/>
          <w:lang w:val="pt-BR"/>
        </w:rPr>
        <w:t>Bosquejo histórico</w:t>
      </w:r>
      <w:r w:rsidRPr="00AE7871">
        <w:rPr>
          <w:sz w:val="22"/>
          <w:szCs w:val="22"/>
          <w:lang w:val="pt-BR"/>
        </w:rPr>
        <w:t xml:space="preserve">, 1960[1837]: I:241-3.  </w:t>
      </w:r>
      <w:r w:rsidRPr="00D73DA3">
        <w:rPr>
          <w:sz w:val="22"/>
          <w:szCs w:val="22"/>
          <w:lang w:val="es-ES_tradnl"/>
        </w:rPr>
        <w:t>También influyó la accesibilidad de Arce y su origen salvadoreño, que reunió el apoyo de su estado natal.</w:t>
      </w:r>
    </w:p>
  </w:footnote>
  <w:footnote w:id="90">
    <w:p w14:paraId="37F33BED"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Marure, </w:t>
      </w:r>
      <w:r w:rsidRPr="00D73DA3">
        <w:rPr>
          <w:i/>
          <w:sz w:val="22"/>
          <w:szCs w:val="22"/>
          <w:lang w:val="es-ES_tradnl"/>
        </w:rPr>
        <w:t>Bosquejo histórico</w:t>
      </w:r>
      <w:r w:rsidRPr="00D73DA3">
        <w:rPr>
          <w:sz w:val="22"/>
          <w:szCs w:val="22"/>
          <w:lang w:val="es-ES_tradnl"/>
        </w:rPr>
        <w:t>, 1960[1837</w:t>
      </w:r>
      <w:proofErr w:type="gramStart"/>
      <w:r w:rsidRPr="00D73DA3">
        <w:rPr>
          <w:sz w:val="22"/>
          <w:szCs w:val="22"/>
          <w:lang w:val="es-ES_tradnl"/>
        </w:rPr>
        <w:t>]:I</w:t>
      </w:r>
      <w:proofErr w:type="gramEnd"/>
      <w:r w:rsidRPr="00D73DA3">
        <w:rPr>
          <w:sz w:val="22"/>
          <w:szCs w:val="22"/>
          <w:lang w:val="es-ES_tradnl"/>
        </w:rPr>
        <w:t>:198.</w:t>
      </w:r>
    </w:p>
  </w:footnote>
  <w:footnote w:id="91">
    <w:p w14:paraId="094EBB8F"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García </w:t>
      </w:r>
      <w:proofErr w:type="spellStart"/>
      <w:r w:rsidRPr="00D73DA3">
        <w:rPr>
          <w:sz w:val="22"/>
          <w:szCs w:val="22"/>
          <w:lang w:val="es-ES"/>
        </w:rPr>
        <w:t>Buchard</w:t>
      </w:r>
      <w:proofErr w:type="spellEnd"/>
      <w:r w:rsidRPr="00D73DA3">
        <w:rPr>
          <w:sz w:val="22"/>
          <w:szCs w:val="22"/>
          <w:lang w:val="es-ES"/>
        </w:rPr>
        <w:t xml:space="preserve">, </w:t>
      </w:r>
      <w:r w:rsidRPr="00D73DA3">
        <w:rPr>
          <w:sz w:val="22"/>
          <w:szCs w:val="22"/>
          <w:lang w:val="es-ES_tradnl"/>
        </w:rPr>
        <w:t>2008:3.</w:t>
      </w:r>
      <w:r w:rsidRPr="00D73DA3">
        <w:rPr>
          <w:b/>
          <w:bCs/>
          <w:kern w:val="32"/>
          <w:sz w:val="22"/>
          <w:szCs w:val="22"/>
          <w:lang w:val="es-ES_tradnl"/>
        </w:rPr>
        <w:t xml:space="preserve"> </w:t>
      </w:r>
    </w:p>
  </w:footnote>
  <w:footnote w:id="92">
    <w:p w14:paraId="2C7E02DD" w14:textId="77777777" w:rsidR="00D9226D" w:rsidRPr="00D73DA3" w:rsidRDefault="00D9226D" w:rsidP="00936C95">
      <w:pPr>
        <w:pStyle w:val="FootnoteText"/>
        <w:jc w:val="both"/>
        <w:rPr>
          <w:bCs/>
          <w:sz w:val="22"/>
          <w:szCs w:val="22"/>
          <w:lang w:val="es-ES_tradnl"/>
        </w:rPr>
      </w:pPr>
      <w:r w:rsidRPr="00D73DA3">
        <w:rPr>
          <w:rStyle w:val="FootnoteReference"/>
          <w:sz w:val="22"/>
          <w:szCs w:val="22"/>
        </w:rPr>
        <w:footnoteRef/>
      </w:r>
      <w:r w:rsidRPr="00D73DA3">
        <w:rPr>
          <w:sz w:val="22"/>
          <w:szCs w:val="22"/>
          <w:lang w:val="es-ES_tradnl"/>
        </w:rPr>
        <w:t xml:space="preserve"> Obregón Quesada, </w:t>
      </w:r>
      <w:r w:rsidRPr="00D73DA3">
        <w:rPr>
          <w:iCs/>
          <w:sz w:val="22"/>
          <w:szCs w:val="22"/>
          <w:lang w:val="es-ES_tradnl"/>
        </w:rPr>
        <w:t>2000.</w:t>
      </w:r>
    </w:p>
  </w:footnote>
  <w:footnote w:id="93">
    <w:p w14:paraId="7940AEAD"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w:t>
      </w:r>
      <w:proofErr w:type="spellStart"/>
      <w:r w:rsidRPr="00D73DA3">
        <w:rPr>
          <w:sz w:val="22"/>
          <w:szCs w:val="22"/>
          <w:lang w:val="es-ES_tradnl"/>
        </w:rPr>
        <w:t>Avendano</w:t>
      </w:r>
      <w:proofErr w:type="spellEnd"/>
      <w:r w:rsidRPr="00D73DA3">
        <w:rPr>
          <w:sz w:val="22"/>
          <w:szCs w:val="22"/>
          <w:lang w:val="es-ES_tradnl"/>
        </w:rPr>
        <w:t xml:space="preserve"> Rojas, 2007: 67-8, 76.</w:t>
      </w:r>
    </w:p>
  </w:footnote>
  <w:footnote w:id="94">
    <w:p w14:paraId="417A0D3F"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r w:rsidRPr="00D73DA3">
        <w:rPr>
          <w:i/>
          <w:sz w:val="22"/>
          <w:szCs w:val="22"/>
          <w:lang w:val="es-ES"/>
        </w:rPr>
        <w:t>Congreso Federal de Centroamérica, Orden 193, 25-VII-1825,</w:t>
      </w:r>
      <w:r w:rsidRPr="00D73DA3">
        <w:rPr>
          <w:sz w:val="22"/>
          <w:szCs w:val="22"/>
          <w:lang w:val="es-ES"/>
        </w:rPr>
        <w:t xml:space="preserve"> AGCA B 4126-29708, f </w:t>
      </w:r>
      <w:proofErr w:type="gramStart"/>
      <w:r w:rsidRPr="00D73DA3">
        <w:rPr>
          <w:sz w:val="22"/>
          <w:szCs w:val="22"/>
          <w:lang w:val="es-ES"/>
        </w:rPr>
        <w:t>28,.</w:t>
      </w:r>
      <w:proofErr w:type="gramEnd"/>
    </w:p>
  </w:footnote>
  <w:footnote w:id="95">
    <w:p w14:paraId="025B0108" w14:textId="77777777" w:rsidR="00D9226D" w:rsidRPr="00D73DA3" w:rsidRDefault="00D9226D" w:rsidP="00936C95">
      <w:pPr>
        <w:widowControl w:val="0"/>
        <w:autoSpaceDE w:val="0"/>
        <w:autoSpaceDN w:val="0"/>
        <w:adjustRightInd w:val="0"/>
        <w:jc w:val="both"/>
        <w:rPr>
          <w:sz w:val="22"/>
          <w:szCs w:val="22"/>
          <w:lang w:val="es-ES"/>
        </w:rPr>
      </w:pPr>
      <w:r w:rsidRPr="00D73DA3">
        <w:rPr>
          <w:rStyle w:val="FootnoteReference"/>
          <w:sz w:val="22"/>
          <w:szCs w:val="22"/>
        </w:rPr>
        <w:footnoteRef/>
      </w:r>
      <w:r w:rsidRPr="00D73DA3">
        <w:rPr>
          <w:sz w:val="22"/>
          <w:szCs w:val="22"/>
          <w:lang w:val="es-ES"/>
        </w:rPr>
        <w:t xml:space="preserve"> </w:t>
      </w:r>
      <w:r w:rsidRPr="00AE7871">
        <w:rPr>
          <w:sz w:val="22"/>
          <w:szCs w:val="22"/>
          <w:lang w:val="es-ES"/>
        </w:rPr>
        <w:t>Guatemala</w:t>
      </w:r>
      <w:r w:rsidRPr="00D73DA3">
        <w:rPr>
          <w:i/>
          <w:sz w:val="22"/>
          <w:szCs w:val="22"/>
          <w:lang w:val="es-ES"/>
        </w:rPr>
        <w:t xml:space="preserve"> 2a Legislatura, Actas publicas de sesiones ordinarias de 30-VII al 6-XII-1829, 31-VII-1829</w:t>
      </w:r>
      <w:r w:rsidRPr="00D73DA3">
        <w:rPr>
          <w:sz w:val="22"/>
          <w:szCs w:val="22"/>
          <w:lang w:val="es-ES"/>
        </w:rPr>
        <w:t xml:space="preserve">, AGCA C1 111-3223, f. 2v. </w:t>
      </w:r>
    </w:p>
  </w:footnote>
  <w:footnote w:id="96">
    <w:p w14:paraId="78434CE5" w14:textId="77777777" w:rsidR="00D9226D" w:rsidRPr="00D73DA3" w:rsidRDefault="00D9226D" w:rsidP="00936C95">
      <w:pPr>
        <w:widowControl w:val="0"/>
        <w:autoSpaceDE w:val="0"/>
        <w:autoSpaceDN w:val="0"/>
        <w:adjustRightInd w:val="0"/>
        <w:jc w:val="both"/>
        <w:rPr>
          <w:sz w:val="22"/>
          <w:szCs w:val="22"/>
          <w:lang w:val="es-ES"/>
        </w:rPr>
      </w:pPr>
      <w:r w:rsidRPr="00D73DA3">
        <w:rPr>
          <w:rStyle w:val="FootnoteReference"/>
          <w:sz w:val="22"/>
          <w:szCs w:val="22"/>
        </w:rPr>
        <w:footnoteRef/>
      </w:r>
      <w:r w:rsidRPr="00AE7871">
        <w:rPr>
          <w:sz w:val="22"/>
          <w:szCs w:val="22"/>
          <w:lang w:val="es-ES_tradnl"/>
        </w:rPr>
        <w:t xml:space="preserve"> Guatemala, </w:t>
      </w:r>
      <w:r w:rsidRPr="00AE7871">
        <w:rPr>
          <w:i/>
          <w:sz w:val="22"/>
          <w:szCs w:val="22"/>
          <w:lang w:val="es-ES_tradnl"/>
        </w:rPr>
        <w:t>2a Legislatura, Actas publicas…1829, 8-VIII-1829</w:t>
      </w:r>
      <w:r w:rsidRPr="00AE7871">
        <w:rPr>
          <w:sz w:val="22"/>
          <w:szCs w:val="22"/>
          <w:lang w:val="es-ES_tradnl"/>
        </w:rPr>
        <w:t xml:space="preserve">, AGCA C1 111-3223, f. 10v, para. </w:t>
      </w:r>
      <w:r w:rsidRPr="00D73DA3">
        <w:rPr>
          <w:sz w:val="22"/>
          <w:szCs w:val="22"/>
          <w:lang w:val="es-ES"/>
        </w:rPr>
        <w:t>5.</w:t>
      </w:r>
    </w:p>
  </w:footnote>
  <w:footnote w:id="97">
    <w:p w14:paraId="48E9E7DA"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Decreto, 3-XII-1834, en Esgueva Gómez, </w:t>
      </w:r>
      <w:r w:rsidRPr="00D73DA3">
        <w:rPr>
          <w:i/>
          <w:sz w:val="22"/>
          <w:szCs w:val="22"/>
          <w:lang w:val="es-ES_tradnl"/>
        </w:rPr>
        <w:t xml:space="preserve">Las leyes electorales, </w:t>
      </w:r>
      <w:r w:rsidRPr="00D73DA3">
        <w:rPr>
          <w:sz w:val="22"/>
          <w:szCs w:val="22"/>
          <w:lang w:val="es-ES_tradnl"/>
        </w:rPr>
        <w:t>Doc. 56, 275-276.</w:t>
      </w:r>
    </w:p>
  </w:footnote>
  <w:footnote w:id="98">
    <w:p w14:paraId="50706DF0"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w:t>
      </w:r>
      <w:proofErr w:type="spellStart"/>
      <w:r w:rsidRPr="00D73DA3">
        <w:rPr>
          <w:sz w:val="22"/>
          <w:szCs w:val="22"/>
          <w:lang w:val="es-ES"/>
        </w:rPr>
        <w:t>Marure</w:t>
      </w:r>
      <w:proofErr w:type="spellEnd"/>
      <w:r w:rsidRPr="00D73DA3">
        <w:rPr>
          <w:sz w:val="22"/>
          <w:szCs w:val="22"/>
          <w:lang w:val="es-ES"/>
        </w:rPr>
        <w:t>, 1960[1837]</w:t>
      </w:r>
      <w:r w:rsidRPr="00D73DA3">
        <w:rPr>
          <w:i/>
          <w:sz w:val="22"/>
          <w:szCs w:val="22"/>
          <w:lang w:val="es-ES"/>
        </w:rPr>
        <w:t>,</w:t>
      </w:r>
      <w:r w:rsidRPr="00D73DA3">
        <w:rPr>
          <w:sz w:val="22"/>
          <w:szCs w:val="22"/>
          <w:lang w:val="es-ES"/>
        </w:rPr>
        <w:t xml:space="preserve"> I: 253-5.  </w:t>
      </w:r>
    </w:p>
  </w:footnote>
  <w:footnote w:id="99">
    <w:p w14:paraId="04365E91" w14:textId="77777777" w:rsidR="00D9226D" w:rsidRPr="00D73DA3" w:rsidRDefault="00D9226D" w:rsidP="00936C95">
      <w:pPr>
        <w:pStyle w:val="FootnoteText"/>
        <w:jc w:val="both"/>
        <w:rPr>
          <w:sz w:val="22"/>
          <w:szCs w:val="22"/>
          <w:lang w:val="es-ES_tradnl"/>
        </w:rPr>
      </w:pPr>
      <w:r w:rsidRPr="00D73DA3">
        <w:rPr>
          <w:rStyle w:val="FootnoteReference"/>
          <w:sz w:val="22"/>
          <w:szCs w:val="22"/>
        </w:rPr>
        <w:footnoteRef/>
      </w:r>
      <w:r w:rsidRPr="00D73DA3">
        <w:rPr>
          <w:sz w:val="22"/>
          <w:szCs w:val="22"/>
          <w:lang w:val="es-ES_tradnl"/>
        </w:rPr>
        <w:t xml:space="preserve"> Los capítulos estableciendo cuerpos legislativos anteceden los del poder ejecutivo en las constituciones de Estados Unidos (1789), España (1812) y de Centroamérica de los 1820 y 1830.</w:t>
      </w:r>
    </w:p>
  </w:footnote>
  <w:footnote w:id="100">
    <w:p w14:paraId="34D69401"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Véase </w:t>
      </w:r>
      <w:proofErr w:type="spellStart"/>
      <w:r w:rsidRPr="00D73DA3">
        <w:rPr>
          <w:sz w:val="22"/>
          <w:szCs w:val="22"/>
          <w:lang w:val="es-ES"/>
        </w:rPr>
        <w:t>Alda</w:t>
      </w:r>
      <w:proofErr w:type="spellEnd"/>
      <w:r w:rsidRPr="00D73DA3">
        <w:rPr>
          <w:sz w:val="22"/>
          <w:szCs w:val="22"/>
          <w:lang w:val="es-ES"/>
        </w:rPr>
        <w:t xml:space="preserve"> Mejías, 2004: 115-142.</w:t>
      </w:r>
    </w:p>
  </w:footnote>
  <w:footnote w:id="101">
    <w:p w14:paraId="26F8AE1A"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Obregón, 2000</w:t>
      </w:r>
      <w:r w:rsidRPr="00936C95">
        <w:rPr>
          <w:i/>
          <w:sz w:val="22"/>
          <w:szCs w:val="22"/>
          <w:lang w:val="es-ES"/>
        </w:rPr>
        <w:t xml:space="preserve">, </w:t>
      </w:r>
      <w:r w:rsidRPr="00936C95">
        <w:rPr>
          <w:sz w:val="22"/>
          <w:szCs w:val="22"/>
          <w:lang w:val="es-ES"/>
        </w:rPr>
        <w:t xml:space="preserve">80. </w:t>
      </w:r>
    </w:p>
  </w:footnote>
  <w:footnote w:id="102">
    <w:p w14:paraId="2D3BD6B7" w14:textId="77777777" w:rsidR="00D9226D" w:rsidRPr="00936C95" w:rsidRDefault="00D9226D" w:rsidP="00936C95">
      <w:pPr>
        <w:pStyle w:val="FootnoteText"/>
        <w:jc w:val="both"/>
        <w:rPr>
          <w:sz w:val="22"/>
          <w:szCs w:val="22"/>
          <w:lang w:val="es-ES"/>
        </w:rPr>
      </w:pPr>
      <w:r w:rsidRPr="00D73DA3">
        <w:rPr>
          <w:rStyle w:val="FootnoteReference"/>
          <w:sz w:val="22"/>
          <w:szCs w:val="22"/>
        </w:rPr>
        <w:footnoteRef/>
      </w:r>
      <w:r w:rsidRPr="00936C95">
        <w:rPr>
          <w:sz w:val="22"/>
          <w:szCs w:val="22"/>
          <w:lang w:val="es-ES"/>
        </w:rPr>
        <w:t xml:space="preserve"> Dym, 2007:</w:t>
      </w:r>
      <w:r w:rsidRPr="00936C95">
        <w:rPr>
          <w:i/>
          <w:sz w:val="22"/>
          <w:szCs w:val="22"/>
          <w:lang w:val="es-ES"/>
        </w:rPr>
        <w:t xml:space="preserve"> </w:t>
      </w:r>
      <w:r w:rsidRPr="00936C95">
        <w:rPr>
          <w:sz w:val="22"/>
          <w:szCs w:val="22"/>
          <w:lang w:val="es-ES"/>
        </w:rPr>
        <w:t>210-213, 234-241.</w:t>
      </w:r>
    </w:p>
  </w:footnote>
  <w:footnote w:id="103">
    <w:p w14:paraId="6BA8F7F4" w14:textId="77777777" w:rsidR="00D9226D" w:rsidRPr="00D73DA3" w:rsidRDefault="00D9226D" w:rsidP="00936C95">
      <w:pPr>
        <w:pStyle w:val="FootnoteText"/>
        <w:jc w:val="both"/>
        <w:rPr>
          <w:sz w:val="22"/>
          <w:szCs w:val="22"/>
          <w:lang w:val="es-ES"/>
        </w:rPr>
      </w:pPr>
      <w:r w:rsidRPr="00D73DA3">
        <w:rPr>
          <w:rStyle w:val="FootnoteReference"/>
          <w:sz w:val="22"/>
          <w:szCs w:val="22"/>
        </w:rPr>
        <w:footnoteRef/>
      </w:r>
      <w:r w:rsidRPr="00D73DA3">
        <w:rPr>
          <w:sz w:val="22"/>
          <w:szCs w:val="22"/>
          <w:lang w:val="es-ES"/>
        </w:rPr>
        <w:t xml:space="preserve"> Avendaño Rojas, 2007</w:t>
      </w:r>
      <w:r w:rsidRPr="00D73DA3">
        <w:rPr>
          <w:i/>
          <w:sz w:val="22"/>
          <w:szCs w:val="22"/>
          <w:lang w:val="es-ES"/>
        </w:rPr>
        <w:t xml:space="preserve">, </w:t>
      </w:r>
      <w:r w:rsidRPr="00D73DA3">
        <w:rPr>
          <w:sz w:val="22"/>
          <w:szCs w:val="22"/>
          <w:lang w:val="es-ES"/>
        </w:rPr>
        <w:t xml:space="preserve">68-69. </w:t>
      </w:r>
      <w:proofErr w:type="spellStart"/>
      <w:r w:rsidRPr="00D73DA3">
        <w:rPr>
          <w:sz w:val="22"/>
          <w:szCs w:val="22"/>
          <w:lang w:val="es-ES"/>
        </w:rPr>
        <w:t>Alda</w:t>
      </w:r>
      <w:proofErr w:type="spellEnd"/>
      <w:r w:rsidRPr="00D73DA3">
        <w:rPr>
          <w:sz w:val="22"/>
          <w:szCs w:val="22"/>
          <w:lang w:val="es-ES"/>
        </w:rPr>
        <w:t xml:space="preserve"> Mejías, 2004a, para 1838-1872.</w:t>
      </w:r>
    </w:p>
  </w:footnote>
  <w:footnote w:id="104">
    <w:p w14:paraId="4C3D44CD" w14:textId="77777777" w:rsidR="00D9226D" w:rsidRPr="00D73DA3" w:rsidRDefault="00D9226D" w:rsidP="00936C95">
      <w:pPr>
        <w:jc w:val="both"/>
        <w:rPr>
          <w:sz w:val="22"/>
          <w:szCs w:val="22"/>
        </w:rPr>
      </w:pPr>
      <w:r w:rsidRPr="00D73DA3">
        <w:rPr>
          <w:rStyle w:val="FootnoteReference"/>
          <w:sz w:val="22"/>
          <w:szCs w:val="22"/>
        </w:rPr>
        <w:footnoteRef/>
      </w:r>
      <w:r w:rsidRPr="00D73DA3">
        <w:rPr>
          <w:sz w:val="22"/>
          <w:szCs w:val="22"/>
        </w:rPr>
        <w:t xml:space="preserve"> </w:t>
      </w:r>
      <w:proofErr w:type="spellStart"/>
      <w:r w:rsidRPr="00D73DA3">
        <w:rPr>
          <w:sz w:val="22"/>
          <w:szCs w:val="22"/>
        </w:rPr>
        <w:t>Citado</w:t>
      </w:r>
      <w:proofErr w:type="spellEnd"/>
      <w:r w:rsidRPr="00D73DA3">
        <w:rPr>
          <w:sz w:val="22"/>
          <w:szCs w:val="22"/>
        </w:rPr>
        <w:t xml:space="preserve"> </w:t>
      </w:r>
      <w:proofErr w:type="spellStart"/>
      <w:r w:rsidRPr="00D73DA3">
        <w:rPr>
          <w:sz w:val="22"/>
          <w:szCs w:val="22"/>
        </w:rPr>
        <w:t>en</w:t>
      </w:r>
      <w:proofErr w:type="spellEnd"/>
      <w:r w:rsidRPr="00D73DA3">
        <w:rPr>
          <w:sz w:val="22"/>
          <w:szCs w:val="22"/>
        </w:rPr>
        <w:t xml:space="preserve"> Woodward, Jr., 2001.</w:t>
      </w:r>
    </w:p>
  </w:footnote>
  <w:footnote w:id="105">
    <w:p w14:paraId="4FA15F49" w14:textId="77777777" w:rsidR="00370A03" w:rsidRDefault="00370A03" w:rsidP="00370A03">
      <w:pPr>
        <w:pStyle w:val="FootnoteText"/>
      </w:pPr>
      <w:r>
        <w:rPr>
          <w:rStyle w:val="FootnoteReference"/>
        </w:rPr>
        <w:footnoteRef/>
      </w:r>
      <w:r>
        <w:t xml:space="preserve"> </w:t>
      </w:r>
      <w:proofErr w:type="spellStart"/>
      <w:r>
        <w:t>Manin</w:t>
      </w:r>
      <w:proofErr w:type="spellEnd"/>
      <w:r>
        <w:t xml:space="preserve">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808813"/>
      <w:docPartObj>
        <w:docPartGallery w:val="Page Numbers (Top of Page)"/>
        <w:docPartUnique/>
      </w:docPartObj>
    </w:sdtPr>
    <w:sdtEndPr/>
    <w:sdtContent>
      <w:p w14:paraId="201406A0" w14:textId="77777777" w:rsidR="00D9226D" w:rsidRDefault="00D9226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B4EFBD2" w14:textId="77777777" w:rsidR="00D9226D" w:rsidRDefault="00D92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1C"/>
    <w:rsid w:val="00003935"/>
    <w:rsid w:val="000049B0"/>
    <w:rsid w:val="00006A9A"/>
    <w:rsid w:val="00006B7B"/>
    <w:rsid w:val="00012315"/>
    <w:rsid w:val="000158A2"/>
    <w:rsid w:val="00015F16"/>
    <w:rsid w:val="00020079"/>
    <w:rsid w:val="000239A0"/>
    <w:rsid w:val="000270B7"/>
    <w:rsid w:val="00040277"/>
    <w:rsid w:val="000406CC"/>
    <w:rsid w:val="00043879"/>
    <w:rsid w:val="00045CFB"/>
    <w:rsid w:val="00045E81"/>
    <w:rsid w:val="00053B2D"/>
    <w:rsid w:val="00055A1E"/>
    <w:rsid w:val="00055A2D"/>
    <w:rsid w:val="00060637"/>
    <w:rsid w:val="00064879"/>
    <w:rsid w:val="00073AAF"/>
    <w:rsid w:val="00077A25"/>
    <w:rsid w:val="00087B46"/>
    <w:rsid w:val="0009142E"/>
    <w:rsid w:val="00092E3A"/>
    <w:rsid w:val="00093AAE"/>
    <w:rsid w:val="00096A47"/>
    <w:rsid w:val="000974BE"/>
    <w:rsid w:val="000A1BD5"/>
    <w:rsid w:val="000A342A"/>
    <w:rsid w:val="000A546A"/>
    <w:rsid w:val="000A5FD9"/>
    <w:rsid w:val="000B3B34"/>
    <w:rsid w:val="000B4958"/>
    <w:rsid w:val="000B7585"/>
    <w:rsid w:val="000C107E"/>
    <w:rsid w:val="000C567D"/>
    <w:rsid w:val="000D1467"/>
    <w:rsid w:val="000D1935"/>
    <w:rsid w:val="000D2746"/>
    <w:rsid w:val="000D327F"/>
    <w:rsid w:val="000D3E51"/>
    <w:rsid w:val="000E25D6"/>
    <w:rsid w:val="000E32C6"/>
    <w:rsid w:val="000F0531"/>
    <w:rsid w:val="000F30A6"/>
    <w:rsid w:val="000F52BF"/>
    <w:rsid w:val="000F6CE4"/>
    <w:rsid w:val="000F79AC"/>
    <w:rsid w:val="001015CC"/>
    <w:rsid w:val="00102585"/>
    <w:rsid w:val="00102CCF"/>
    <w:rsid w:val="00104D75"/>
    <w:rsid w:val="00104E78"/>
    <w:rsid w:val="0010741B"/>
    <w:rsid w:val="001078F0"/>
    <w:rsid w:val="00107AEB"/>
    <w:rsid w:val="001118B4"/>
    <w:rsid w:val="00116261"/>
    <w:rsid w:val="00116AEB"/>
    <w:rsid w:val="00124CB7"/>
    <w:rsid w:val="00125816"/>
    <w:rsid w:val="00125FD1"/>
    <w:rsid w:val="00126F00"/>
    <w:rsid w:val="00127E61"/>
    <w:rsid w:val="001330E7"/>
    <w:rsid w:val="00142C4D"/>
    <w:rsid w:val="00146484"/>
    <w:rsid w:val="001477DC"/>
    <w:rsid w:val="00151647"/>
    <w:rsid w:val="001548B4"/>
    <w:rsid w:val="00155B31"/>
    <w:rsid w:val="00162C4F"/>
    <w:rsid w:val="0016509F"/>
    <w:rsid w:val="00166DFB"/>
    <w:rsid w:val="00174C1D"/>
    <w:rsid w:val="00176130"/>
    <w:rsid w:val="0018733E"/>
    <w:rsid w:val="0019175C"/>
    <w:rsid w:val="001965A5"/>
    <w:rsid w:val="00196A12"/>
    <w:rsid w:val="001A0FA2"/>
    <w:rsid w:val="001A23CD"/>
    <w:rsid w:val="001A2532"/>
    <w:rsid w:val="001B032D"/>
    <w:rsid w:val="001C2925"/>
    <w:rsid w:val="001C4D3B"/>
    <w:rsid w:val="001C59CA"/>
    <w:rsid w:val="001C5E4D"/>
    <w:rsid w:val="001D090F"/>
    <w:rsid w:val="001D2114"/>
    <w:rsid w:val="001D57D0"/>
    <w:rsid w:val="001D6551"/>
    <w:rsid w:val="001D682B"/>
    <w:rsid w:val="0020547F"/>
    <w:rsid w:val="00205642"/>
    <w:rsid w:val="002072D6"/>
    <w:rsid w:val="00223FB1"/>
    <w:rsid w:val="00224F95"/>
    <w:rsid w:val="002255CE"/>
    <w:rsid w:val="002307FD"/>
    <w:rsid w:val="00237716"/>
    <w:rsid w:val="0024773F"/>
    <w:rsid w:val="00250EC3"/>
    <w:rsid w:val="00253CBD"/>
    <w:rsid w:val="00254177"/>
    <w:rsid w:val="00254C07"/>
    <w:rsid w:val="0025797A"/>
    <w:rsid w:val="00263970"/>
    <w:rsid w:val="00265313"/>
    <w:rsid w:val="00271871"/>
    <w:rsid w:val="00272D04"/>
    <w:rsid w:val="00272DF8"/>
    <w:rsid w:val="0027601E"/>
    <w:rsid w:val="00277504"/>
    <w:rsid w:val="00277FCA"/>
    <w:rsid w:val="00282526"/>
    <w:rsid w:val="00282720"/>
    <w:rsid w:val="002834D2"/>
    <w:rsid w:val="002876A6"/>
    <w:rsid w:val="0028770F"/>
    <w:rsid w:val="00296A59"/>
    <w:rsid w:val="002A0342"/>
    <w:rsid w:val="002A0666"/>
    <w:rsid w:val="002A1509"/>
    <w:rsid w:val="002A3863"/>
    <w:rsid w:val="002A40C4"/>
    <w:rsid w:val="002A55D3"/>
    <w:rsid w:val="002A5B0A"/>
    <w:rsid w:val="002A5C37"/>
    <w:rsid w:val="002B0E9B"/>
    <w:rsid w:val="002B4C07"/>
    <w:rsid w:val="002C0637"/>
    <w:rsid w:val="002C2043"/>
    <w:rsid w:val="002C465D"/>
    <w:rsid w:val="002C5012"/>
    <w:rsid w:val="002C62C1"/>
    <w:rsid w:val="002C7422"/>
    <w:rsid w:val="002D24BB"/>
    <w:rsid w:val="002D4774"/>
    <w:rsid w:val="002E1227"/>
    <w:rsid w:val="002E1A0F"/>
    <w:rsid w:val="002E43F5"/>
    <w:rsid w:val="002E5BA3"/>
    <w:rsid w:val="002E6172"/>
    <w:rsid w:val="002F27D0"/>
    <w:rsid w:val="002F510D"/>
    <w:rsid w:val="002F5948"/>
    <w:rsid w:val="00300383"/>
    <w:rsid w:val="0030336A"/>
    <w:rsid w:val="00317E1D"/>
    <w:rsid w:val="00327710"/>
    <w:rsid w:val="00331539"/>
    <w:rsid w:val="00342730"/>
    <w:rsid w:val="003455BA"/>
    <w:rsid w:val="00345E3C"/>
    <w:rsid w:val="00347148"/>
    <w:rsid w:val="003503A3"/>
    <w:rsid w:val="00351A9A"/>
    <w:rsid w:val="00353D01"/>
    <w:rsid w:val="00354DCA"/>
    <w:rsid w:val="00355621"/>
    <w:rsid w:val="00365BEB"/>
    <w:rsid w:val="00370A03"/>
    <w:rsid w:val="00371886"/>
    <w:rsid w:val="00373ED5"/>
    <w:rsid w:val="00377108"/>
    <w:rsid w:val="00381592"/>
    <w:rsid w:val="00386E85"/>
    <w:rsid w:val="003957F7"/>
    <w:rsid w:val="00396394"/>
    <w:rsid w:val="00396EDF"/>
    <w:rsid w:val="003A3E6E"/>
    <w:rsid w:val="003C4A58"/>
    <w:rsid w:val="003D2966"/>
    <w:rsid w:val="003E05D1"/>
    <w:rsid w:val="003E198A"/>
    <w:rsid w:val="003E1CB1"/>
    <w:rsid w:val="003E5466"/>
    <w:rsid w:val="003E669A"/>
    <w:rsid w:val="003E7535"/>
    <w:rsid w:val="003F057E"/>
    <w:rsid w:val="003F1B72"/>
    <w:rsid w:val="003F2601"/>
    <w:rsid w:val="003F4130"/>
    <w:rsid w:val="003F5EB4"/>
    <w:rsid w:val="003F6278"/>
    <w:rsid w:val="00402AE8"/>
    <w:rsid w:val="004116B0"/>
    <w:rsid w:val="00413F4D"/>
    <w:rsid w:val="00417720"/>
    <w:rsid w:val="00420AA8"/>
    <w:rsid w:val="00423ACD"/>
    <w:rsid w:val="00427049"/>
    <w:rsid w:val="00430011"/>
    <w:rsid w:val="00432DA6"/>
    <w:rsid w:val="00435178"/>
    <w:rsid w:val="00436415"/>
    <w:rsid w:val="00437B26"/>
    <w:rsid w:val="00437CE2"/>
    <w:rsid w:val="00441C1C"/>
    <w:rsid w:val="00445846"/>
    <w:rsid w:val="0045098F"/>
    <w:rsid w:val="00454059"/>
    <w:rsid w:val="004578AE"/>
    <w:rsid w:val="00457BD5"/>
    <w:rsid w:val="004613B6"/>
    <w:rsid w:val="0046786B"/>
    <w:rsid w:val="004716C5"/>
    <w:rsid w:val="00474FEE"/>
    <w:rsid w:val="00476738"/>
    <w:rsid w:val="0048087F"/>
    <w:rsid w:val="00480B8F"/>
    <w:rsid w:val="00480E2B"/>
    <w:rsid w:val="00481F63"/>
    <w:rsid w:val="004846EE"/>
    <w:rsid w:val="00490BE7"/>
    <w:rsid w:val="0049637D"/>
    <w:rsid w:val="004963C6"/>
    <w:rsid w:val="004A2851"/>
    <w:rsid w:val="004A3376"/>
    <w:rsid w:val="004C251A"/>
    <w:rsid w:val="004C31C0"/>
    <w:rsid w:val="004C40A3"/>
    <w:rsid w:val="004C4410"/>
    <w:rsid w:val="004C6403"/>
    <w:rsid w:val="004C6516"/>
    <w:rsid w:val="004D5A74"/>
    <w:rsid w:val="004E30CD"/>
    <w:rsid w:val="004F204D"/>
    <w:rsid w:val="004F3755"/>
    <w:rsid w:val="00502507"/>
    <w:rsid w:val="005127A2"/>
    <w:rsid w:val="00513329"/>
    <w:rsid w:val="00514617"/>
    <w:rsid w:val="005177F4"/>
    <w:rsid w:val="00523456"/>
    <w:rsid w:val="00531EDD"/>
    <w:rsid w:val="005322C6"/>
    <w:rsid w:val="005413C0"/>
    <w:rsid w:val="005506D1"/>
    <w:rsid w:val="00552E70"/>
    <w:rsid w:val="0055571C"/>
    <w:rsid w:val="00556871"/>
    <w:rsid w:val="00567956"/>
    <w:rsid w:val="005720E6"/>
    <w:rsid w:val="00573470"/>
    <w:rsid w:val="00573DD3"/>
    <w:rsid w:val="00573E24"/>
    <w:rsid w:val="005767D1"/>
    <w:rsid w:val="005821E9"/>
    <w:rsid w:val="0058254C"/>
    <w:rsid w:val="00582799"/>
    <w:rsid w:val="005842F8"/>
    <w:rsid w:val="0059025C"/>
    <w:rsid w:val="00590652"/>
    <w:rsid w:val="00593B4F"/>
    <w:rsid w:val="005946F5"/>
    <w:rsid w:val="005A1EC9"/>
    <w:rsid w:val="005B3D9E"/>
    <w:rsid w:val="005B7240"/>
    <w:rsid w:val="005B7914"/>
    <w:rsid w:val="005C4630"/>
    <w:rsid w:val="005C7EE4"/>
    <w:rsid w:val="005D745F"/>
    <w:rsid w:val="005E0FD0"/>
    <w:rsid w:val="005E2FEC"/>
    <w:rsid w:val="005E6D4E"/>
    <w:rsid w:val="005F07F3"/>
    <w:rsid w:val="005F4159"/>
    <w:rsid w:val="005F6B06"/>
    <w:rsid w:val="005F79DF"/>
    <w:rsid w:val="006028E0"/>
    <w:rsid w:val="0060436F"/>
    <w:rsid w:val="00606520"/>
    <w:rsid w:val="006218A8"/>
    <w:rsid w:val="00652C2C"/>
    <w:rsid w:val="00664972"/>
    <w:rsid w:val="00673FCD"/>
    <w:rsid w:val="006778CA"/>
    <w:rsid w:val="00691E3C"/>
    <w:rsid w:val="00693C7C"/>
    <w:rsid w:val="00695096"/>
    <w:rsid w:val="00695ECA"/>
    <w:rsid w:val="006A0343"/>
    <w:rsid w:val="006A1F76"/>
    <w:rsid w:val="006A498D"/>
    <w:rsid w:val="006B0159"/>
    <w:rsid w:val="006B10EC"/>
    <w:rsid w:val="006B23A3"/>
    <w:rsid w:val="006D4AFB"/>
    <w:rsid w:val="006E1AFC"/>
    <w:rsid w:val="006E44CF"/>
    <w:rsid w:val="006E4C3E"/>
    <w:rsid w:val="006F2B1F"/>
    <w:rsid w:val="006F368F"/>
    <w:rsid w:val="006F6888"/>
    <w:rsid w:val="007034D8"/>
    <w:rsid w:val="00703F35"/>
    <w:rsid w:val="007044E3"/>
    <w:rsid w:val="007110F1"/>
    <w:rsid w:val="007118DC"/>
    <w:rsid w:val="0073176A"/>
    <w:rsid w:val="00736AE1"/>
    <w:rsid w:val="00746399"/>
    <w:rsid w:val="0075528D"/>
    <w:rsid w:val="0076724B"/>
    <w:rsid w:val="0077706F"/>
    <w:rsid w:val="00783406"/>
    <w:rsid w:val="007865BA"/>
    <w:rsid w:val="0078786B"/>
    <w:rsid w:val="00796371"/>
    <w:rsid w:val="007A4004"/>
    <w:rsid w:val="007A4785"/>
    <w:rsid w:val="007A61C4"/>
    <w:rsid w:val="007B47F8"/>
    <w:rsid w:val="007B5EEE"/>
    <w:rsid w:val="007B697F"/>
    <w:rsid w:val="007C1890"/>
    <w:rsid w:val="007C39E3"/>
    <w:rsid w:val="007C3C84"/>
    <w:rsid w:val="007C7817"/>
    <w:rsid w:val="007D00B7"/>
    <w:rsid w:val="007D5272"/>
    <w:rsid w:val="007E3634"/>
    <w:rsid w:val="007E4BA4"/>
    <w:rsid w:val="007F00E3"/>
    <w:rsid w:val="007F7575"/>
    <w:rsid w:val="007F7ACA"/>
    <w:rsid w:val="0081604A"/>
    <w:rsid w:val="00821161"/>
    <w:rsid w:val="00824486"/>
    <w:rsid w:val="008256C8"/>
    <w:rsid w:val="00830B7A"/>
    <w:rsid w:val="00835746"/>
    <w:rsid w:val="00837DAA"/>
    <w:rsid w:val="008454C9"/>
    <w:rsid w:val="00862449"/>
    <w:rsid w:val="008639D6"/>
    <w:rsid w:val="00871381"/>
    <w:rsid w:val="00875E7B"/>
    <w:rsid w:val="0088491B"/>
    <w:rsid w:val="00884B69"/>
    <w:rsid w:val="008937F9"/>
    <w:rsid w:val="008964F6"/>
    <w:rsid w:val="0089712A"/>
    <w:rsid w:val="008A27A4"/>
    <w:rsid w:val="008B4062"/>
    <w:rsid w:val="008C2625"/>
    <w:rsid w:val="008D2478"/>
    <w:rsid w:val="008D4C7B"/>
    <w:rsid w:val="008D7663"/>
    <w:rsid w:val="008E0AC6"/>
    <w:rsid w:val="008E1E57"/>
    <w:rsid w:val="008E3385"/>
    <w:rsid w:val="008E395F"/>
    <w:rsid w:val="008E4837"/>
    <w:rsid w:val="008E4E2E"/>
    <w:rsid w:val="008E528A"/>
    <w:rsid w:val="008F2484"/>
    <w:rsid w:val="008F32C0"/>
    <w:rsid w:val="008F35D7"/>
    <w:rsid w:val="008F6823"/>
    <w:rsid w:val="00914120"/>
    <w:rsid w:val="009174F4"/>
    <w:rsid w:val="00933BE4"/>
    <w:rsid w:val="00934FDC"/>
    <w:rsid w:val="009356AE"/>
    <w:rsid w:val="00936912"/>
    <w:rsid w:val="00936C95"/>
    <w:rsid w:val="00940525"/>
    <w:rsid w:val="00943347"/>
    <w:rsid w:val="00945615"/>
    <w:rsid w:val="00946045"/>
    <w:rsid w:val="00946AFF"/>
    <w:rsid w:val="0094763D"/>
    <w:rsid w:val="00960786"/>
    <w:rsid w:val="00960A3B"/>
    <w:rsid w:val="00961299"/>
    <w:rsid w:val="00961F0E"/>
    <w:rsid w:val="00966E01"/>
    <w:rsid w:val="009734F8"/>
    <w:rsid w:val="00986181"/>
    <w:rsid w:val="00990AB9"/>
    <w:rsid w:val="00996834"/>
    <w:rsid w:val="009A162C"/>
    <w:rsid w:val="009A3069"/>
    <w:rsid w:val="009A5E18"/>
    <w:rsid w:val="009B1650"/>
    <w:rsid w:val="009B3C6A"/>
    <w:rsid w:val="009B58D8"/>
    <w:rsid w:val="009B7D5B"/>
    <w:rsid w:val="009C296C"/>
    <w:rsid w:val="009D696F"/>
    <w:rsid w:val="009E0D81"/>
    <w:rsid w:val="009E647F"/>
    <w:rsid w:val="00A00E70"/>
    <w:rsid w:val="00A0209C"/>
    <w:rsid w:val="00A03C1C"/>
    <w:rsid w:val="00A175E6"/>
    <w:rsid w:val="00A23BB0"/>
    <w:rsid w:val="00A31459"/>
    <w:rsid w:val="00A33817"/>
    <w:rsid w:val="00A361DC"/>
    <w:rsid w:val="00A3632C"/>
    <w:rsid w:val="00A437E3"/>
    <w:rsid w:val="00A468CB"/>
    <w:rsid w:val="00A476B2"/>
    <w:rsid w:val="00A50D9A"/>
    <w:rsid w:val="00A55280"/>
    <w:rsid w:val="00A64EEC"/>
    <w:rsid w:val="00A673E9"/>
    <w:rsid w:val="00A71703"/>
    <w:rsid w:val="00A72E65"/>
    <w:rsid w:val="00A75D3F"/>
    <w:rsid w:val="00A80994"/>
    <w:rsid w:val="00A85050"/>
    <w:rsid w:val="00A90256"/>
    <w:rsid w:val="00A93E8C"/>
    <w:rsid w:val="00A96B82"/>
    <w:rsid w:val="00AA3DAA"/>
    <w:rsid w:val="00AA4545"/>
    <w:rsid w:val="00AC1A94"/>
    <w:rsid w:val="00AC2ABA"/>
    <w:rsid w:val="00AD2587"/>
    <w:rsid w:val="00AE0705"/>
    <w:rsid w:val="00AE0AF2"/>
    <w:rsid w:val="00AE1FC9"/>
    <w:rsid w:val="00AE5A50"/>
    <w:rsid w:val="00AE71B0"/>
    <w:rsid w:val="00AE7871"/>
    <w:rsid w:val="00AF186B"/>
    <w:rsid w:val="00B05935"/>
    <w:rsid w:val="00B10F9B"/>
    <w:rsid w:val="00B148E3"/>
    <w:rsid w:val="00B2549D"/>
    <w:rsid w:val="00B310DE"/>
    <w:rsid w:val="00B333A9"/>
    <w:rsid w:val="00B3640A"/>
    <w:rsid w:val="00B456AA"/>
    <w:rsid w:val="00B45BAB"/>
    <w:rsid w:val="00B51214"/>
    <w:rsid w:val="00B55605"/>
    <w:rsid w:val="00B57E94"/>
    <w:rsid w:val="00B815A0"/>
    <w:rsid w:val="00B976F3"/>
    <w:rsid w:val="00BA7215"/>
    <w:rsid w:val="00BA752C"/>
    <w:rsid w:val="00BB3EEB"/>
    <w:rsid w:val="00BC0B10"/>
    <w:rsid w:val="00BC4B51"/>
    <w:rsid w:val="00BC699C"/>
    <w:rsid w:val="00BC6C1A"/>
    <w:rsid w:val="00BE65A5"/>
    <w:rsid w:val="00BF0787"/>
    <w:rsid w:val="00BF2F56"/>
    <w:rsid w:val="00BF5F0F"/>
    <w:rsid w:val="00C00860"/>
    <w:rsid w:val="00C129F6"/>
    <w:rsid w:val="00C16FAA"/>
    <w:rsid w:val="00C17388"/>
    <w:rsid w:val="00C1755F"/>
    <w:rsid w:val="00C176B7"/>
    <w:rsid w:val="00C23A85"/>
    <w:rsid w:val="00C23EB3"/>
    <w:rsid w:val="00C314A1"/>
    <w:rsid w:val="00C31ED6"/>
    <w:rsid w:val="00C41E23"/>
    <w:rsid w:val="00C432E7"/>
    <w:rsid w:val="00C52B9D"/>
    <w:rsid w:val="00C54985"/>
    <w:rsid w:val="00C60662"/>
    <w:rsid w:val="00C608FA"/>
    <w:rsid w:val="00C67C06"/>
    <w:rsid w:val="00C76B38"/>
    <w:rsid w:val="00C8092B"/>
    <w:rsid w:val="00C87488"/>
    <w:rsid w:val="00C929A1"/>
    <w:rsid w:val="00C94C78"/>
    <w:rsid w:val="00C95416"/>
    <w:rsid w:val="00C97DAF"/>
    <w:rsid w:val="00CA0D82"/>
    <w:rsid w:val="00CB0DD8"/>
    <w:rsid w:val="00CB17EA"/>
    <w:rsid w:val="00CB1B43"/>
    <w:rsid w:val="00CB6E95"/>
    <w:rsid w:val="00CC20BA"/>
    <w:rsid w:val="00CC396F"/>
    <w:rsid w:val="00CC6637"/>
    <w:rsid w:val="00CD2648"/>
    <w:rsid w:val="00CD38AE"/>
    <w:rsid w:val="00CF14BB"/>
    <w:rsid w:val="00D01FD5"/>
    <w:rsid w:val="00D0382F"/>
    <w:rsid w:val="00D040A0"/>
    <w:rsid w:val="00D2262E"/>
    <w:rsid w:val="00D3176C"/>
    <w:rsid w:val="00D31B69"/>
    <w:rsid w:val="00D323CE"/>
    <w:rsid w:val="00D42C4B"/>
    <w:rsid w:val="00D44221"/>
    <w:rsid w:val="00D456FC"/>
    <w:rsid w:val="00D50BFA"/>
    <w:rsid w:val="00D51F2A"/>
    <w:rsid w:val="00D569AE"/>
    <w:rsid w:val="00D61698"/>
    <w:rsid w:val="00D61DBA"/>
    <w:rsid w:val="00D65638"/>
    <w:rsid w:val="00D6770C"/>
    <w:rsid w:val="00D73DA3"/>
    <w:rsid w:val="00D8301D"/>
    <w:rsid w:val="00D83028"/>
    <w:rsid w:val="00D85E1B"/>
    <w:rsid w:val="00D87AA3"/>
    <w:rsid w:val="00D87C98"/>
    <w:rsid w:val="00D91EC4"/>
    <w:rsid w:val="00D9226D"/>
    <w:rsid w:val="00D93056"/>
    <w:rsid w:val="00D96622"/>
    <w:rsid w:val="00DA306E"/>
    <w:rsid w:val="00DA3095"/>
    <w:rsid w:val="00DA48CB"/>
    <w:rsid w:val="00DA63AF"/>
    <w:rsid w:val="00DA724F"/>
    <w:rsid w:val="00DC174B"/>
    <w:rsid w:val="00DD39F1"/>
    <w:rsid w:val="00DD4FC8"/>
    <w:rsid w:val="00DE6117"/>
    <w:rsid w:val="00DE7EFA"/>
    <w:rsid w:val="00DF7830"/>
    <w:rsid w:val="00E00B61"/>
    <w:rsid w:val="00E01801"/>
    <w:rsid w:val="00E04CD0"/>
    <w:rsid w:val="00E05076"/>
    <w:rsid w:val="00E06133"/>
    <w:rsid w:val="00E06741"/>
    <w:rsid w:val="00E12DA6"/>
    <w:rsid w:val="00E3011E"/>
    <w:rsid w:val="00E41D8F"/>
    <w:rsid w:val="00E437C7"/>
    <w:rsid w:val="00E45818"/>
    <w:rsid w:val="00E54A1F"/>
    <w:rsid w:val="00E61D6C"/>
    <w:rsid w:val="00E6210E"/>
    <w:rsid w:val="00E64A7A"/>
    <w:rsid w:val="00E739AF"/>
    <w:rsid w:val="00E75294"/>
    <w:rsid w:val="00E753D4"/>
    <w:rsid w:val="00E91BC0"/>
    <w:rsid w:val="00E94F64"/>
    <w:rsid w:val="00E96367"/>
    <w:rsid w:val="00E97587"/>
    <w:rsid w:val="00EA5BEE"/>
    <w:rsid w:val="00EC03AE"/>
    <w:rsid w:val="00EC4404"/>
    <w:rsid w:val="00EC46D1"/>
    <w:rsid w:val="00EC6ED9"/>
    <w:rsid w:val="00EC73F9"/>
    <w:rsid w:val="00ED5309"/>
    <w:rsid w:val="00EE443F"/>
    <w:rsid w:val="00F10662"/>
    <w:rsid w:val="00F13B9E"/>
    <w:rsid w:val="00F23512"/>
    <w:rsid w:val="00F3325C"/>
    <w:rsid w:val="00F45565"/>
    <w:rsid w:val="00F50FE4"/>
    <w:rsid w:val="00F51F65"/>
    <w:rsid w:val="00F57393"/>
    <w:rsid w:val="00F614EF"/>
    <w:rsid w:val="00F61F52"/>
    <w:rsid w:val="00F6774F"/>
    <w:rsid w:val="00F73E57"/>
    <w:rsid w:val="00F76769"/>
    <w:rsid w:val="00F83229"/>
    <w:rsid w:val="00F874FC"/>
    <w:rsid w:val="00F92837"/>
    <w:rsid w:val="00F92A8D"/>
    <w:rsid w:val="00FA6997"/>
    <w:rsid w:val="00FA6F36"/>
    <w:rsid w:val="00FB06F6"/>
    <w:rsid w:val="00FB11F9"/>
    <w:rsid w:val="00FB7041"/>
    <w:rsid w:val="00FC7503"/>
    <w:rsid w:val="00FD2926"/>
    <w:rsid w:val="00FD5703"/>
    <w:rsid w:val="00FE4DCC"/>
    <w:rsid w:val="00FF2A9D"/>
    <w:rsid w:val="00FF5815"/>
    <w:rsid w:val="00FF6CA3"/>
    <w:rsid w:val="00FF74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6DA7"/>
  <w15:docId w15:val="{8FAE9900-0A9E-5846-9209-E9525279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CA"/>
  </w:style>
  <w:style w:type="paragraph" w:styleId="Heading1">
    <w:name w:val="heading 1"/>
    <w:basedOn w:val="Normal"/>
    <w:next w:val="Normal"/>
    <w:link w:val="Heading1Char"/>
    <w:qFormat/>
    <w:rsid w:val="004C31C0"/>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573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427049"/>
    <w:rPr>
      <w:sz w:val="20"/>
      <w:vertAlign w:val="superscript"/>
    </w:rPr>
  </w:style>
  <w:style w:type="paragraph" w:styleId="FootnoteText">
    <w:name w:val="footnote text"/>
    <w:basedOn w:val="Normal"/>
    <w:link w:val="FootnoteTextChar"/>
    <w:unhideWhenUsed/>
    <w:qFormat/>
    <w:rsid w:val="00427049"/>
    <w:rPr>
      <w:rFonts w:eastAsia="Times New Roman"/>
      <w:sz w:val="20"/>
    </w:rPr>
  </w:style>
  <w:style w:type="character" w:customStyle="1" w:styleId="FootnoteTextChar">
    <w:name w:val="Footnote Text Char"/>
    <w:basedOn w:val="DefaultParagraphFont"/>
    <w:link w:val="FootnoteText"/>
    <w:rsid w:val="00427049"/>
    <w:rPr>
      <w:rFonts w:eastAsia="Times New Roman"/>
      <w:sz w:val="20"/>
    </w:rPr>
  </w:style>
  <w:style w:type="table" w:styleId="TableGrid">
    <w:name w:val="Table Grid"/>
    <w:basedOn w:val="TableNormal"/>
    <w:uiPriority w:val="39"/>
    <w:rsid w:val="0044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w:rsid w:val="00223FB1"/>
    <w:rPr>
      <w:lang w:val="en-US" w:eastAsia="en-US" w:bidi="ar-SA"/>
    </w:rPr>
  </w:style>
  <w:style w:type="paragraph" w:styleId="BalloonText">
    <w:name w:val="Balloon Text"/>
    <w:basedOn w:val="Normal"/>
    <w:link w:val="BalloonTextChar"/>
    <w:uiPriority w:val="99"/>
    <w:semiHidden/>
    <w:unhideWhenUsed/>
    <w:rsid w:val="00BC699C"/>
    <w:rPr>
      <w:sz w:val="18"/>
      <w:szCs w:val="18"/>
    </w:rPr>
  </w:style>
  <w:style w:type="character" w:customStyle="1" w:styleId="BalloonTextChar">
    <w:name w:val="Balloon Text Char"/>
    <w:basedOn w:val="DefaultParagraphFont"/>
    <w:link w:val="BalloonText"/>
    <w:uiPriority w:val="99"/>
    <w:semiHidden/>
    <w:rsid w:val="00BC699C"/>
    <w:rPr>
      <w:sz w:val="18"/>
      <w:szCs w:val="18"/>
    </w:rPr>
  </w:style>
  <w:style w:type="character" w:styleId="CommentReference">
    <w:name w:val="annotation reference"/>
    <w:basedOn w:val="DefaultParagraphFont"/>
    <w:uiPriority w:val="99"/>
    <w:semiHidden/>
    <w:unhideWhenUsed/>
    <w:rsid w:val="00664972"/>
    <w:rPr>
      <w:sz w:val="16"/>
      <w:szCs w:val="16"/>
    </w:rPr>
  </w:style>
  <w:style w:type="paragraph" w:styleId="CommentText">
    <w:name w:val="annotation text"/>
    <w:basedOn w:val="Normal"/>
    <w:link w:val="CommentTextChar"/>
    <w:uiPriority w:val="99"/>
    <w:semiHidden/>
    <w:unhideWhenUsed/>
    <w:rsid w:val="00664972"/>
    <w:rPr>
      <w:sz w:val="20"/>
      <w:szCs w:val="20"/>
    </w:rPr>
  </w:style>
  <w:style w:type="character" w:customStyle="1" w:styleId="CommentTextChar">
    <w:name w:val="Comment Text Char"/>
    <w:basedOn w:val="DefaultParagraphFont"/>
    <w:link w:val="CommentText"/>
    <w:uiPriority w:val="99"/>
    <w:semiHidden/>
    <w:rsid w:val="00664972"/>
    <w:rPr>
      <w:sz w:val="20"/>
      <w:szCs w:val="20"/>
    </w:rPr>
  </w:style>
  <w:style w:type="paragraph" w:styleId="CommentSubject">
    <w:name w:val="annotation subject"/>
    <w:basedOn w:val="CommentText"/>
    <w:next w:val="CommentText"/>
    <w:link w:val="CommentSubjectChar"/>
    <w:uiPriority w:val="99"/>
    <w:semiHidden/>
    <w:unhideWhenUsed/>
    <w:rsid w:val="00664972"/>
    <w:rPr>
      <w:b/>
      <w:bCs/>
    </w:rPr>
  </w:style>
  <w:style w:type="character" w:customStyle="1" w:styleId="CommentSubjectChar">
    <w:name w:val="Comment Subject Char"/>
    <w:basedOn w:val="CommentTextChar"/>
    <w:link w:val="CommentSubject"/>
    <w:uiPriority w:val="99"/>
    <w:semiHidden/>
    <w:rsid w:val="00664972"/>
    <w:rPr>
      <w:b/>
      <w:bCs/>
      <w:sz w:val="20"/>
      <w:szCs w:val="20"/>
    </w:rPr>
  </w:style>
  <w:style w:type="character" w:customStyle="1" w:styleId="titulo">
    <w:name w:val="titulo"/>
    <w:basedOn w:val="DefaultParagraphFont"/>
    <w:rsid w:val="00F57393"/>
  </w:style>
  <w:style w:type="character" w:customStyle="1" w:styleId="result-small1">
    <w:name w:val="result-small1"/>
    <w:basedOn w:val="DefaultParagraphFont"/>
    <w:rsid w:val="00F57393"/>
  </w:style>
  <w:style w:type="character" w:styleId="Hyperlink">
    <w:name w:val="Hyperlink"/>
    <w:rsid w:val="00D87C98"/>
    <w:rPr>
      <w:color w:val="0000FF"/>
      <w:u w:val="single"/>
    </w:rPr>
  </w:style>
  <w:style w:type="character" w:customStyle="1" w:styleId="Heading2Char">
    <w:name w:val="Heading 2 Char"/>
    <w:basedOn w:val="DefaultParagraphFont"/>
    <w:link w:val="Heading2"/>
    <w:uiPriority w:val="9"/>
    <w:semiHidden/>
    <w:rsid w:val="00573E24"/>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573E24"/>
    <w:rPr>
      <w:color w:val="605E5C"/>
      <w:shd w:val="clear" w:color="auto" w:fill="E1DFDD"/>
    </w:rPr>
  </w:style>
  <w:style w:type="character" w:styleId="FollowedHyperlink">
    <w:name w:val="FollowedHyperlink"/>
    <w:basedOn w:val="DefaultParagraphFont"/>
    <w:uiPriority w:val="99"/>
    <w:semiHidden/>
    <w:unhideWhenUsed/>
    <w:rsid w:val="00FA6997"/>
    <w:rPr>
      <w:color w:val="954F72" w:themeColor="followedHyperlink"/>
      <w:u w:val="single"/>
    </w:rPr>
  </w:style>
  <w:style w:type="character" w:styleId="Strong">
    <w:name w:val="Strong"/>
    <w:basedOn w:val="DefaultParagraphFont"/>
    <w:uiPriority w:val="22"/>
    <w:qFormat/>
    <w:rsid w:val="00F874FC"/>
    <w:rPr>
      <w:b/>
      <w:bCs/>
    </w:rPr>
  </w:style>
  <w:style w:type="paragraph" w:styleId="NormalWeb">
    <w:name w:val="Normal (Web)"/>
    <w:basedOn w:val="Normal"/>
    <w:uiPriority w:val="99"/>
    <w:semiHidden/>
    <w:unhideWhenUsed/>
    <w:rsid w:val="00F874FC"/>
    <w:pPr>
      <w:spacing w:before="100" w:beforeAutospacing="1" w:after="100" w:afterAutospacing="1"/>
    </w:pPr>
    <w:rPr>
      <w:rFonts w:eastAsia="Times New Roman"/>
    </w:rPr>
  </w:style>
  <w:style w:type="paragraph" w:styleId="ListParagraph">
    <w:name w:val="List Paragraph"/>
    <w:basedOn w:val="Normal"/>
    <w:uiPriority w:val="34"/>
    <w:qFormat/>
    <w:rsid w:val="005506D1"/>
    <w:pPr>
      <w:ind w:left="720"/>
      <w:contextualSpacing/>
    </w:pPr>
  </w:style>
  <w:style w:type="character" w:customStyle="1" w:styleId="Heading1Char">
    <w:name w:val="Heading 1 Char"/>
    <w:basedOn w:val="DefaultParagraphFont"/>
    <w:link w:val="Heading1"/>
    <w:rsid w:val="004C31C0"/>
    <w:rPr>
      <w:rFonts w:ascii="Arial" w:eastAsia="Times New Roman" w:hAnsi="Arial" w:cs="Arial"/>
      <w:b/>
      <w:bCs/>
      <w:kern w:val="32"/>
      <w:sz w:val="32"/>
      <w:szCs w:val="32"/>
    </w:rPr>
  </w:style>
  <w:style w:type="paragraph" w:styleId="Header">
    <w:name w:val="header"/>
    <w:basedOn w:val="Normal"/>
    <w:link w:val="HeaderChar"/>
    <w:uiPriority w:val="99"/>
    <w:unhideWhenUsed/>
    <w:rsid w:val="00432DA6"/>
    <w:pPr>
      <w:tabs>
        <w:tab w:val="center" w:pos="4252"/>
        <w:tab w:val="right" w:pos="8504"/>
      </w:tabs>
    </w:pPr>
  </w:style>
  <w:style w:type="character" w:customStyle="1" w:styleId="HeaderChar">
    <w:name w:val="Header Char"/>
    <w:basedOn w:val="DefaultParagraphFont"/>
    <w:link w:val="Header"/>
    <w:uiPriority w:val="99"/>
    <w:rsid w:val="00432DA6"/>
  </w:style>
  <w:style w:type="paragraph" w:styleId="Footer">
    <w:name w:val="footer"/>
    <w:basedOn w:val="Normal"/>
    <w:link w:val="FooterChar"/>
    <w:uiPriority w:val="99"/>
    <w:semiHidden/>
    <w:unhideWhenUsed/>
    <w:rsid w:val="00432DA6"/>
    <w:pPr>
      <w:tabs>
        <w:tab w:val="center" w:pos="4252"/>
        <w:tab w:val="right" w:pos="8504"/>
      </w:tabs>
    </w:pPr>
  </w:style>
  <w:style w:type="character" w:customStyle="1" w:styleId="FooterChar">
    <w:name w:val="Footer Char"/>
    <w:basedOn w:val="DefaultParagraphFont"/>
    <w:link w:val="Footer"/>
    <w:uiPriority w:val="99"/>
    <w:semiHidden/>
    <w:rsid w:val="00432DA6"/>
  </w:style>
  <w:style w:type="paragraph" w:styleId="EndnoteText">
    <w:name w:val="endnote text"/>
    <w:basedOn w:val="Normal"/>
    <w:link w:val="EndnoteTextChar"/>
    <w:uiPriority w:val="99"/>
    <w:unhideWhenUsed/>
    <w:rsid w:val="00003935"/>
    <w:rPr>
      <w:sz w:val="20"/>
      <w:szCs w:val="20"/>
    </w:rPr>
  </w:style>
  <w:style w:type="character" w:customStyle="1" w:styleId="EndnoteTextChar">
    <w:name w:val="Endnote Text Char"/>
    <w:basedOn w:val="DefaultParagraphFont"/>
    <w:link w:val="EndnoteText"/>
    <w:uiPriority w:val="99"/>
    <w:rsid w:val="00003935"/>
    <w:rPr>
      <w:sz w:val="20"/>
      <w:szCs w:val="20"/>
    </w:rPr>
  </w:style>
  <w:style w:type="character" w:styleId="EndnoteReference">
    <w:name w:val="endnote reference"/>
    <w:basedOn w:val="DefaultParagraphFont"/>
    <w:uiPriority w:val="99"/>
    <w:semiHidden/>
    <w:unhideWhenUsed/>
    <w:rsid w:val="00003935"/>
    <w:rPr>
      <w:vertAlign w:val="superscript"/>
    </w:rPr>
  </w:style>
  <w:style w:type="character" w:customStyle="1" w:styleId="UnresolvedMention2">
    <w:name w:val="Unresolved Mention2"/>
    <w:basedOn w:val="DefaultParagraphFont"/>
    <w:uiPriority w:val="99"/>
    <w:semiHidden/>
    <w:unhideWhenUsed/>
    <w:rsid w:val="00D01FD5"/>
    <w:rPr>
      <w:color w:val="605E5C"/>
      <w:shd w:val="clear" w:color="auto" w:fill="E1DFDD"/>
    </w:rPr>
  </w:style>
  <w:style w:type="paragraph" w:customStyle="1" w:styleId="paragraph">
    <w:name w:val="paragraph"/>
    <w:basedOn w:val="Normal"/>
    <w:rsid w:val="00C17388"/>
    <w:pPr>
      <w:spacing w:before="100" w:beforeAutospacing="1" w:after="100" w:afterAutospacing="1"/>
    </w:pPr>
    <w:rPr>
      <w:rFonts w:eastAsia="Times New Roman"/>
    </w:rPr>
  </w:style>
  <w:style w:type="character" w:customStyle="1" w:styleId="textrun">
    <w:name w:val="textrun"/>
    <w:basedOn w:val="DefaultParagraphFont"/>
    <w:rsid w:val="00C17388"/>
  </w:style>
  <w:style w:type="character" w:customStyle="1" w:styleId="normaltextrun">
    <w:name w:val="normaltextrun"/>
    <w:basedOn w:val="DefaultParagraphFont"/>
    <w:rsid w:val="00C17388"/>
  </w:style>
  <w:style w:type="character" w:customStyle="1" w:styleId="eop">
    <w:name w:val="eop"/>
    <w:basedOn w:val="DefaultParagraphFont"/>
    <w:rsid w:val="00C1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990">
      <w:bodyDiv w:val="1"/>
      <w:marLeft w:val="0"/>
      <w:marRight w:val="0"/>
      <w:marTop w:val="0"/>
      <w:marBottom w:val="0"/>
      <w:divBdr>
        <w:top w:val="none" w:sz="0" w:space="0" w:color="auto"/>
        <w:left w:val="none" w:sz="0" w:space="0" w:color="auto"/>
        <w:bottom w:val="none" w:sz="0" w:space="0" w:color="auto"/>
        <w:right w:val="none" w:sz="0" w:space="0" w:color="auto"/>
      </w:divBdr>
    </w:div>
    <w:div w:id="71122814">
      <w:bodyDiv w:val="1"/>
      <w:marLeft w:val="0"/>
      <w:marRight w:val="0"/>
      <w:marTop w:val="0"/>
      <w:marBottom w:val="0"/>
      <w:divBdr>
        <w:top w:val="none" w:sz="0" w:space="0" w:color="auto"/>
        <w:left w:val="none" w:sz="0" w:space="0" w:color="auto"/>
        <w:bottom w:val="none" w:sz="0" w:space="0" w:color="auto"/>
        <w:right w:val="none" w:sz="0" w:space="0" w:color="auto"/>
      </w:divBdr>
    </w:div>
    <w:div w:id="97915566">
      <w:bodyDiv w:val="1"/>
      <w:marLeft w:val="0"/>
      <w:marRight w:val="0"/>
      <w:marTop w:val="0"/>
      <w:marBottom w:val="0"/>
      <w:divBdr>
        <w:top w:val="none" w:sz="0" w:space="0" w:color="auto"/>
        <w:left w:val="none" w:sz="0" w:space="0" w:color="auto"/>
        <w:bottom w:val="none" w:sz="0" w:space="0" w:color="auto"/>
        <w:right w:val="none" w:sz="0" w:space="0" w:color="auto"/>
      </w:divBdr>
    </w:div>
    <w:div w:id="338512310">
      <w:bodyDiv w:val="1"/>
      <w:marLeft w:val="0"/>
      <w:marRight w:val="0"/>
      <w:marTop w:val="0"/>
      <w:marBottom w:val="0"/>
      <w:divBdr>
        <w:top w:val="none" w:sz="0" w:space="0" w:color="auto"/>
        <w:left w:val="none" w:sz="0" w:space="0" w:color="auto"/>
        <w:bottom w:val="none" w:sz="0" w:space="0" w:color="auto"/>
        <w:right w:val="none" w:sz="0" w:space="0" w:color="auto"/>
      </w:divBdr>
    </w:div>
    <w:div w:id="351030764">
      <w:bodyDiv w:val="1"/>
      <w:marLeft w:val="0"/>
      <w:marRight w:val="0"/>
      <w:marTop w:val="0"/>
      <w:marBottom w:val="0"/>
      <w:divBdr>
        <w:top w:val="none" w:sz="0" w:space="0" w:color="auto"/>
        <w:left w:val="none" w:sz="0" w:space="0" w:color="auto"/>
        <w:bottom w:val="none" w:sz="0" w:space="0" w:color="auto"/>
        <w:right w:val="none" w:sz="0" w:space="0" w:color="auto"/>
      </w:divBdr>
    </w:div>
    <w:div w:id="372656610">
      <w:bodyDiv w:val="1"/>
      <w:marLeft w:val="0"/>
      <w:marRight w:val="0"/>
      <w:marTop w:val="0"/>
      <w:marBottom w:val="0"/>
      <w:divBdr>
        <w:top w:val="none" w:sz="0" w:space="0" w:color="auto"/>
        <w:left w:val="none" w:sz="0" w:space="0" w:color="auto"/>
        <w:bottom w:val="none" w:sz="0" w:space="0" w:color="auto"/>
        <w:right w:val="none" w:sz="0" w:space="0" w:color="auto"/>
      </w:divBdr>
    </w:div>
    <w:div w:id="483859685">
      <w:bodyDiv w:val="1"/>
      <w:marLeft w:val="0"/>
      <w:marRight w:val="0"/>
      <w:marTop w:val="0"/>
      <w:marBottom w:val="0"/>
      <w:divBdr>
        <w:top w:val="none" w:sz="0" w:space="0" w:color="auto"/>
        <w:left w:val="none" w:sz="0" w:space="0" w:color="auto"/>
        <w:bottom w:val="none" w:sz="0" w:space="0" w:color="auto"/>
        <w:right w:val="none" w:sz="0" w:space="0" w:color="auto"/>
      </w:divBdr>
    </w:div>
    <w:div w:id="489172355">
      <w:bodyDiv w:val="1"/>
      <w:marLeft w:val="0"/>
      <w:marRight w:val="0"/>
      <w:marTop w:val="0"/>
      <w:marBottom w:val="0"/>
      <w:divBdr>
        <w:top w:val="none" w:sz="0" w:space="0" w:color="auto"/>
        <w:left w:val="none" w:sz="0" w:space="0" w:color="auto"/>
        <w:bottom w:val="none" w:sz="0" w:space="0" w:color="auto"/>
        <w:right w:val="none" w:sz="0" w:space="0" w:color="auto"/>
      </w:divBdr>
    </w:div>
    <w:div w:id="610238001">
      <w:bodyDiv w:val="1"/>
      <w:marLeft w:val="0"/>
      <w:marRight w:val="0"/>
      <w:marTop w:val="0"/>
      <w:marBottom w:val="0"/>
      <w:divBdr>
        <w:top w:val="none" w:sz="0" w:space="0" w:color="auto"/>
        <w:left w:val="none" w:sz="0" w:space="0" w:color="auto"/>
        <w:bottom w:val="none" w:sz="0" w:space="0" w:color="auto"/>
        <w:right w:val="none" w:sz="0" w:space="0" w:color="auto"/>
      </w:divBdr>
    </w:div>
    <w:div w:id="760762062">
      <w:bodyDiv w:val="1"/>
      <w:marLeft w:val="0"/>
      <w:marRight w:val="0"/>
      <w:marTop w:val="0"/>
      <w:marBottom w:val="0"/>
      <w:divBdr>
        <w:top w:val="none" w:sz="0" w:space="0" w:color="auto"/>
        <w:left w:val="none" w:sz="0" w:space="0" w:color="auto"/>
        <w:bottom w:val="none" w:sz="0" w:space="0" w:color="auto"/>
        <w:right w:val="none" w:sz="0" w:space="0" w:color="auto"/>
      </w:divBdr>
    </w:div>
    <w:div w:id="913126754">
      <w:bodyDiv w:val="1"/>
      <w:marLeft w:val="0"/>
      <w:marRight w:val="0"/>
      <w:marTop w:val="0"/>
      <w:marBottom w:val="0"/>
      <w:divBdr>
        <w:top w:val="none" w:sz="0" w:space="0" w:color="auto"/>
        <w:left w:val="none" w:sz="0" w:space="0" w:color="auto"/>
        <w:bottom w:val="none" w:sz="0" w:space="0" w:color="auto"/>
        <w:right w:val="none" w:sz="0" w:space="0" w:color="auto"/>
      </w:divBdr>
      <w:divsChild>
        <w:div w:id="534391564">
          <w:marLeft w:val="0"/>
          <w:marRight w:val="0"/>
          <w:marTop w:val="0"/>
          <w:marBottom w:val="0"/>
          <w:divBdr>
            <w:top w:val="none" w:sz="0" w:space="0" w:color="auto"/>
            <w:left w:val="none" w:sz="0" w:space="0" w:color="auto"/>
            <w:bottom w:val="none" w:sz="0" w:space="0" w:color="auto"/>
            <w:right w:val="none" w:sz="0" w:space="0" w:color="auto"/>
          </w:divBdr>
        </w:div>
        <w:div w:id="74327168">
          <w:marLeft w:val="0"/>
          <w:marRight w:val="0"/>
          <w:marTop w:val="0"/>
          <w:marBottom w:val="0"/>
          <w:divBdr>
            <w:top w:val="none" w:sz="0" w:space="0" w:color="auto"/>
            <w:left w:val="none" w:sz="0" w:space="0" w:color="auto"/>
            <w:bottom w:val="none" w:sz="0" w:space="0" w:color="auto"/>
            <w:right w:val="none" w:sz="0" w:space="0" w:color="auto"/>
          </w:divBdr>
        </w:div>
        <w:div w:id="1679381127">
          <w:marLeft w:val="0"/>
          <w:marRight w:val="0"/>
          <w:marTop w:val="0"/>
          <w:marBottom w:val="0"/>
          <w:divBdr>
            <w:top w:val="none" w:sz="0" w:space="0" w:color="auto"/>
            <w:left w:val="none" w:sz="0" w:space="0" w:color="auto"/>
            <w:bottom w:val="none" w:sz="0" w:space="0" w:color="auto"/>
            <w:right w:val="none" w:sz="0" w:space="0" w:color="auto"/>
          </w:divBdr>
        </w:div>
      </w:divsChild>
    </w:div>
    <w:div w:id="1126974039">
      <w:bodyDiv w:val="1"/>
      <w:marLeft w:val="0"/>
      <w:marRight w:val="0"/>
      <w:marTop w:val="0"/>
      <w:marBottom w:val="0"/>
      <w:divBdr>
        <w:top w:val="none" w:sz="0" w:space="0" w:color="auto"/>
        <w:left w:val="none" w:sz="0" w:space="0" w:color="auto"/>
        <w:bottom w:val="none" w:sz="0" w:space="0" w:color="auto"/>
        <w:right w:val="none" w:sz="0" w:space="0" w:color="auto"/>
      </w:divBdr>
      <w:divsChild>
        <w:div w:id="139883787">
          <w:marLeft w:val="0"/>
          <w:marRight w:val="0"/>
          <w:marTop w:val="0"/>
          <w:marBottom w:val="0"/>
          <w:divBdr>
            <w:top w:val="none" w:sz="0" w:space="0" w:color="auto"/>
            <w:left w:val="none" w:sz="0" w:space="0" w:color="auto"/>
            <w:bottom w:val="none" w:sz="0" w:space="0" w:color="auto"/>
            <w:right w:val="none" w:sz="0" w:space="0" w:color="auto"/>
          </w:divBdr>
        </w:div>
        <w:div w:id="1603799235">
          <w:marLeft w:val="0"/>
          <w:marRight w:val="0"/>
          <w:marTop w:val="0"/>
          <w:marBottom w:val="0"/>
          <w:divBdr>
            <w:top w:val="none" w:sz="0" w:space="0" w:color="auto"/>
            <w:left w:val="none" w:sz="0" w:space="0" w:color="auto"/>
            <w:bottom w:val="none" w:sz="0" w:space="0" w:color="auto"/>
            <w:right w:val="none" w:sz="0" w:space="0" w:color="auto"/>
          </w:divBdr>
        </w:div>
        <w:div w:id="498353862">
          <w:marLeft w:val="0"/>
          <w:marRight w:val="0"/>
          <w:marTop w:val="0"/>
          <w:marBottom w:val="0"/>
          <w:divBdr>
            <w:top w:val="none" w:sz="0" w:space="0" w:color="auto"/>
            <w:left w:val="none" w:sz="0" w:space="0" w:color="auto"/>
            <w:bottom w:val="none" w:sz="0" w:space="0" w:color="auto"/>
            <w:right w:val="none" w:sz="0" w:space="0" w:color="auto"/>
          </w:divBdr>
        </w:div>
      </w:divsChild>
    </w:div>
    <w:div w:id="1192840051">
      <w:bodyDiv w:val="1"/>
      <w:marLeft w:val="0"/>
      <w:marRight w:val="0"/>
      <w:marTop w:val="0"/>
      <w:marBottom w:val="0"/>
      <w:divBdr>
        <w:top w:val="none" w:sz="0" w:space="0" w:color="auto"/>
        <w:left w:val="none" w:sz="0" w:space="0" w:color="auto"/>
        <w:bottom w:val="none" w:sz="0" w:space="0" w:color="auto"/>
        <w:right w:val="none" w:sz="0" w:space="0" w:color="auto"/>
      </w:divBdr>
    </w:div>
    <w:div w:id="1219903027">
      <w:bodyDiv w:val="1"/>
      <w:marLeft w:val="0"/>
      <w:marRight w:val="0"/>
      <w:marTop w:val="0"/>
      <w:marBottom w:val="0"/>
      <w:divBdr>
        <w:top w:val="none" w:sz="0" w:space="0" w:color="auto"/>
        <w:left w:val="none" w:sz="0" w:space="0" w:color="auto"/>
        <w:bottom w:val="none" w:sz="0" w:space="0" w:color="auto"/>
        <w:right w:val="none" w:sz="0" w:space="0" w:color="auto"/>
      </w:divBdr>
    </w:div>
    <w:div w:id="1339499960">
      <w:bodyDiv w:val="1"/>
      <w:marLeft w:val="0"/>
      <w:marRight w:val="0"/>
      <w:marTop w:val="0"/>
      <w:marBottom w:val="0"/>
      <w:divBdr>
        <w:top w:val="none" w:sz="0" w:space="0" w:color="auto"/>
        <w:left w:val="none" w:sz="0" w:space="0" w:color="auto"/>
        <w:bottom w:val="none" w:sz="0" w:space="0" w:color="auto"/>
        <w:right w:val="none" w:sz="0" w:space="0" w:color="auto"/>
      </w:divBdr>
    </w:div>
    <w:div w:id="1530528094">
      <w:bodyDiv w:val="1"/>
      <w:marLeft w:val="0"/>
      <w:marRight w:val="0"/>
      <w:marTop w:val="0"/>
      <w:marBottom w:val="0"/>
      <w:divBdr>
        <w:top w:val="none" w:sz="0" w:space="0" w:color="auto"/>
        <w:left w:val="none" w:sz="0" w:space="0" w:color="auto"/>
        <w:bottom w:val="none" w:sz="0" w:space="0" w:color="auto"/>
        <w:right w:val="none" w:sz="0" w:space="0" w:color="auto"/>
      </w:divBdr>
    </w:div>
    <w:div w:id="1624768514">
      <w:bodyDiv w:val="1"/>
      <w:marLeft w:val="0"/>
      <w:marRight w:val="0"/>
      <w:marTop w:val="0"/>
      <w:marBottom w:val="0"/>
      <w:divBdr>
        <w:top w:val="none" w:sz="0" w:space="0" w:color="auto"/>
        <w:left w:val="none" w:sz="0" w:space="0" w:color="auto"/>
        <w:bottom w:val="none" w:sz="0" w:space="0" w:color="auto"/>
        <w:right w:val="none" w:sz="0" w:space="0" w:color="auto"/>
      </w:divBdr>
    </w:div>
    <w:div w:id="1641036492">
      <w:bodyDiv w:val="1"/>
      <w:marLeft w:val="0"/>
      <w:marRight w:val="0"/>
      <w:marTop w:val="0"/>
      <w:marBottom w:val="0"/>
      <w:divBdr>
        <w:top w:val="none" w:sz="0" w:space="0" w:color="auto"/>
        <w:left w:val="none" w:sz="0" w:space="0" w:color="auto"/>
        <w:bottom w:val="none" w:sz="0" w:space="0" w:color="auto"/>
        <w:right w:val="none" w:sz="0" w:space="0" w:color="auto"/>
      </w:divBdr>
    </w:div>
    <w:div w:id="1669627022">
      <w:bodyDiv w:val="1"/>
      <w:marLeft w:val="0"/>
      <w:marRight w:val="0"/>
      <w:marTop w:val="0"/>
      <w:marBottom w:val="0"/>
      <w:divBdr>
        <w:top w:val="none" w:sz="0" w:space="0" w:color="auto"/>
        <w:left w:val="none" w:sz="0" w:space="0" w:color="auto"/>
        <w:bottom w:val="none" w:sz="0" w:space="0" w:color="auto"/>
        <w:right w:val="none" w:sz="0" w:space="0" w:color="auto"/>
      </w:divBdr>
    </w:div>
    <w:div w:id="1683165166">
      <w:bodyDiv w:val="1"/>
      <w:marLeft w:val="0"/>
      <w:marRight w:val="0"/>
      <w:marTop w:val="0"/>
      <w:marBottom w:val="0"/>
      <w:divBdr>
        <w:top w:val="none" w:sz="0" w:space="0" w:color="auto"/>
        <w:left w:val="none" w:sz="0" w:space="0" w:color="auto"/>
        <w:bottom w:val="none" w:sz="0" w:space="0" w:color="auto"/>
        <w:right w:val="none" w:sz="0" w:space="0" w:color="auto"/>
      </w:divBdr>
    </w:div>
    <w:div w:id="1735394559">
      <w:bodyDiv w:val="1"/>
      <w:marLeft w:val="0"/>
      <w:marRight w:val="0"/>
      <w:marTop w:val="0"/>
      <w:marBottom w:val="0"/>
      <w:divBdr>
        <w:top w:val="none" w:sz="0" w:space="0" w:color="auto"/>
        <w:left w:val="none" w:sz="0" w:space="0" w:color="auto"/>
        <w:bottom w:val="none" w:sz="0" w:space="0" w:color="auto"/>
        <w:right w:val="none" w:sz="0" w:space="0" w:color="auto"/>
      </w:divBdr>
    </w:div>
    <w:div w:id="1753696458">
      <w:bodyDiv w:val="1"/>
      <w:marLeft w:val="0"/>
      <w:marRight w:val="0"/>
      <w:marTop w:val="0"/>
      <w:marBottom w:val="0"/>
      <w:divBdr>
        <w:top w:val="none" w:sz="0" w:space="0" w:color="auto"/>
        <w:left w:val="none" w:sz="0" w:space="0" w:color="auto"/>
        <w:bottom w:val="none" w:sz="0" w:space="0" w:color="auto"/>
        <w:right w:val="none" w:sz="0" w:space="0" w:color="auto"/>
      </w:divBdr>
    </w:div>
    <w:div w:id="1918127377">
      <w:bodyDiv w:val="1"/>
      <w:marLeft w:val="0"/>
      <w:marRight w:val="0"/>
      <w:marTop w:val="0"/>
      <w:marBottom w:val="0"/>
      <w:divBdr>
        <w:top w:val="none" w:sz="0" w:space="0" w:color="auto"/>
        <w:left w:val="none" w:sz="0" w:space="0" w:color="auto"/>
        <w:bottom w:val="none" w:sz="0" w:space="0" w:color="auto"/>
        <w:right w:val="none" w:sz="0" w:space="0" w:color="auto"/>
      </w:divBdr>
      <w:divsChild>
        <w:div w:id="235822610">
          <w:marLeft w:val="0"/>
          <w:marRight w:val="0"/>
          <w:marTop w:val="0"/>
          <w:marBottom w:val="0"/>
          <w:divBdr>
            <w:top w:val="none" w:sz="0" w:space="0" w:color="auto"/>
            <w:left w:val="none" w:sz="0" w:space="0" w:color="auto"/>
            <w:bottom w:val="none" w:sz="0" w:space="0" w:color="auto"/>
            <w:right w:val="none" w:sz="0" w:space="0" w:color="auto"/>
          </w:divBdr>
        </w:div>
      </w:divsChild>
    </w:div>
    <w:div w:id="1925143610">
      <w:bodyDiv w:val="1"/>
      <w:marLeft w:val="0"/>
      <w:marRight w:val="0"/>
      <w:marTop w:val="0"/>
      <w:marBottom w:val="0"/>
      <w:divBdr>
        <w:top w:val="none" w:sz="0" w:space="0" w:color="auto"/>
        <w:left w:val="none" w:sz="0" w:space="0" w:color="auto"/>
        <w:bottom w:val="none" w:sz="0" w:space="0" w:color="auto"/>
        <w:right w:val="none" w:sz="0" w:space="0" w:color="auto"/>
      </w:divBdr>
    </w:div>
    <w:div w:id="1936672706">
      <w:bodyDiv w:val="1"/>
      <w:marLeft w:val="0"/>
      <w:marRight w:val="0"/>
      <w:marTop w:val="0"/>
      <w:marBottom w:val="0"/>
      <w:divBdr>
        <w:top w:val="none" w:sz="0" w:space="0" w:color="auto"/>
        <w:left w:val="none" w:sz="0" w:space="0" w:color="auto"/>
        <w:bottom w:val="none" w:sz="0" w:space="0" w:color="auto"/>
        <w:right w:val="none" w:sz="0" w:space="0" w:color="auto"/>
      </w:divBdr>
    </w:div>
    <w:div w:id="1949774851">
      <w:bodyDiv w:val="1"/>
      <w:marLeft w:val="0"/>
      <w:marRight w:val="0"/>
      <w:marTop w:val="0"/>
      <w:marBottom w:val="0"/>
      <w:divBdr>
        <w:top w:val="none" w:sz="0" w:space="0" w:color="auto"/>
        <w:left w:val="none" w:sz="0" w:space="0" w:color="auto"/>
        <w:bottom w:val="none" w:sz="0" w:space="0" w:color="auto"/>
        <w:right w:val="none" w:sz="0" w:space="0" w:color="auto"/>
      </w:divBdr>
    </w:div>
    <w:div w:id="19796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umbia.edu/~pp143/publicsphereinLA2.pdf" TargetMode="External"/><Relationship Id="rId5" Type="http://schemas.openxmlformats.org/officeDocument/2006/relationships/footnotes" Target="footnotes.xml"/><Relationship Id="rId10" Type="http://schemas.openxmlformats.org/officeDocument/2006/relationships/hyperlink" Target="http://afehc-historia-centroamericana.org/index.php?action=fi_aff&amp;id=1829" TargetMode="External"/><Relationship Id="rId4" Type="http://schemas.openxmlformats.org/officeDocument/2006/relationships/webSettings" Target="webSettings.xml"/><Relationship Id="rId9" Type="http://schemas.openxmlformats.org/officeDocument/2006/relationships/hyperlink" Target="http://nuevomundo.revues.org/61186.%2010%20mayo%20201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res.mcu.es/ParesBusquedas20/catalogo/description/4042344?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242C1-11FA-2743-8827-AE85DEE6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13022</Words>
  <Characters>74232</Characters>
  <Application>Microsoft Office Word</Application>
  <DocSecurity>0</DocSecurity>
  <Lines>618</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Dym</dc:creator>
  <cp:lastModifiedBy>Jordana Dym</cp:lastModifiedBy>
  <cp:revision>4</cp:revision>
  <dcterms:created xsi:type="dcterms:W3CDTF">2020-09-20T00:17:00Z</dcterms:created>
  <dcterms:modified xsi:type="dcterms:W3CDTF">2021-02-26T00:37:00Z</dcterms:modified>
</cp:coreProperties>
</file>