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9" w:rsidRPr="005C6CB4" w:rsidRDefault="005A4209" w:rsidP="005A4209">
      <w:pPr>
        <w:rPr>
          <w:lang w:val="fr-FR"/>
        </w:rPr>
      </w:pPr>
      <w:r w:rsidRPr="005C6CB4">
        <w:rPr>
          <w:lang w:val="fr-FR"/>
        </w:rPr>
        <w:t>BEUF Alice</w:t>
      </w:r>
    </w:p>
    <w:p w:rsidR="005A4209" w:rsidRPr="005C6CB4" w:rsidRDefault="005A4209" w:rsidP="005A4209">
      <w:pPr>
        <w:rPr>
          <w:lang w:val="fr-FR"/>
        </w:rPr>
      </w:pPr>
      <w:r w:rsidRPr="005C6CB4">
        <w:rPr>
          <w:lang w:val="fr-FR"/>
        </w:rPr>
        <w:t>aabeuf@unal.edu.co</w:t>
      </w:r>
    </w:p>
    <w:p w:rsidR="005A4209" w:rsidRPr="005C6CB4" w:rsidRDefault="005A4209" w:rsidP="005A4209">
      <w:pPr>
        <w:rPr>
          <w:lang w:val="fr-FR"/>
        </w:rPr>
      </w:pPr>
      <w:r w:rsidRPr="005C6CB4">
        <w:rPr>
          <w:lang w:val="fr-FR"/>
        </w:rPr>
        <w:t>H</w:t>
      </w:r>
      <w:r>
        <w:rPr>
          <w:lang w:val="fr-FR"/>
        </w:rPr>
        <w:t>9AR002</w:t>
      </w:r>
    </w:p>
    <w:p w:rsidR="00B23EFE" w:rsidRPr="00A0669F" w:rsidRDefault="005A4209" w:rsidP="005A4209">
      <w:pPr>
        <w:rPr>
          <w:b/>
          <w:bCs/>
          <w:lang w:val="fr-FR"/>
        </w:rPr>
      </w:pPr>
      <w:r w:rsidRPr="005C6CB4">
        <w:rPr>
          <w:lang w:val="fr-FR"/>
        </w:rPr>
        <w:t>Cours :</w:t>
      </w:r>
      <w:r>
        <w:rPr>
          <w:lang w:val="fr-FR"/>
        </w:rPr>
        <w:t xml:space="preserve"> </w:t>
      </w:r>
      <w:r w:rsidR="001D7092" w:rsidRPr="00A0669F">
        <w:rPr>
          <w:b/>
          <w:bCs/>
          <w:lang w:val="fr-FR"/>
        </w:rPr>
        <w:t>Territoire</w:t>
      </w:r>
      <w:r w:rsidR="00B23EFE" w:rsidRPr="00A0669F">
        <w:rPr>
          <w:b/>
          <w:bCs/>
          <w:lang w:val="fr-FR"/>
        </w:rPr>
        <w:t xml:space="preserve">, </w:t>
      </w:r>
      <w:r w:rsidR="001D7092" w:rsidRPr="00A0669F">
        <w:rPr>
          <w:b/>
          <w:bCs/>
          <w:lang w:val="fr-FR"/>
        </w:rPr>
        <w:t>territorialités et aménagement</w:t>
      </w:r>
    </w:p>
    <w:p w:rsidR="00F71C8D" w:rsidRPr="00A0669F" w:rsidRDefault="00F71C8D" w:rsidP="00583505">
      <w:pPr>
        <w:jc w:val="both"/>
        <w:rPr>
          <w:lang w:val="fr-FR"/>
        </w:rPr>
      </w:pPr>
    </w:p>
    <w:p w:rsidR="00A85239" w:rsidRPr="00A0669F" w:rsidRDefault="00A85239" w:rsidP="00A85239">
      <w:pPr>
        <w:autoSpaceDE w:val="0"/>
        <w:autoSpaceDN w:val="0"/>
        <w:adjustRightInd w:val="0"/>
        <w:jc w:val="both"/>
        <w:rPr>
          <w:lang w:val="fr-FR"/>
        </w:rPr>
      </w:pPr>
      <w:r w:rsidRPr="00A0669F">
        <w:rPr>
          <w:lang w:val="fr-FR"/>
        </w:rPr>
        <w:t>Le cours vise à discuter théoriquement et empiriquement la portée de l'aménagement du territoire, à partir d'approches géographiques et de sciences sociales basées sur des visions plus intégrales et proprement latino-américaines de la notion de territoire.</w:t>
      </w:r>
    </w:p>
    <w:p w:rsidR="00A85239" w:rsidRPr="00A0669F" w:rsidRDefault="00A85239" w:rsidP="00A85239">
      <w:pPr>
        <w:autoSpaceDE w:val="0"/>
        <w:autoSpaceDN w:val="0"/>
        <w:adjustRightInd w:val="0"/>
        <w:jc w:val="both"/>
        <w:rPr>
          <w:lang w:val="fr-FR"/>
        </w:rPr>
      </w:pPr>
      <w:r w:rsidRPr="00A0669F">
        <w:rPr>
          <w:lang w:val="fr-FR"/>
        </w:rPr>
        <w:t xml:space="preserve">L'aménagement du territoire dans sa version officielle apporte une vision hégémonique du territoire, selon laquelle le territoire </w:t>
      </w:r>
      <w:r w:rsidR="00A0669F" w:rsidRPr="00A0669F">
        <w:rPr>
          <w:lang w:val="fr-FR"/>
        </w:rPr>
        <w:t>est assimilé</w:t>
      </w:r>
      <w:r w:rsidRPr="00A0669F">
        <w:rPr>
          <w:lang w:val="fr-FR"/>
        </w:rPr>
        <w:t xml:space="preserve"> à l'espace physique qui </w:t>
      </w:r>
      <w:r w:rsidR="00A0669F" w:rsidRPr="00A0669F">
        <w:rPr>
          <w:lang w:val="fr-FR"/>
        </w:rPr>
        <w:t>supporte</w:t>
      </w:r>
      <w:r w:rsidRPr="00A0669F">
        <w:rPr>
          <w:lang w:val="fr-FR"/>
        </w:rPr>
        <w:t xml:space="preserve"> les activités humaines et qui doit être ordonné en fonction d</w:t>
      </w:r>
      <w:r w:rsidR="00A0669F" w:rsidRPr="00A0669F">
        <w:rPr>
          <w:lang w:val="fr-FR"/>
        </w:rPr>
        <w:t>’</w:t>
      </w:r>
      <w:r w:rsidRPr="00A0669F">
        <w:rPr>
          <w:lang w:val="fr-FR"/>
        </w:rPr>
        <w:t>objectifs d</w:t>
      </w:r>
      <w:r w:rsidR="00A0669F" w:rsidRPr="00A0669F">
        <w:rPr>
          <w:lang w:val="fr-FR"/>
        </w:rPr>
        <w:t>e</w:t>
      </w:r>
      <w:r w:rsidRPr="00A0669F">
        <w:rPr>
          <w:lang w:val="fr-FR"/>
        </w:rPr>
        <w:t xml:space="preserve"> développement. Cependant, en Amérique latine, on observe un mouvement de résistance à ce modèle dominant qui </w:t>
      </w:r>
      <w:r w:rsidR="00A0669F" w:rsidRPr="00A0669F">
        <w:rPr>
          <w:lang w:val="fr-FR"/>
        </w:rPr>
        <w:t>se fonde sur</w:t>
      </w:r>
      <w:r w:rsidRPr="00A0669F">
        <w:rPr>
          <w:lang w:val="fr-FR"/>
        </w:rPr>
        <w:t xml:space="preserve"> des revendications de nature territoriale, très diverses dans leurs origines</w:t>
      </w:r>
      <w:r w:rsidR="00A0669F" w:rsidRPr="00A0669F">
        <w:rPr>
          <w:lang w:val="fr-FR"/>
        </w:rPr>
        <w:t xml:space="preserve"> et </w:t>
      </w:r>
      <w:r w:rsidRPr="00A0669F">
        <w:rPr>
          <w:lang w:val="fr-FR"/>
        </w:rPr>
        <w:t>leurs formes, mais toujours articulées avec d</w:t>
      </w:r>
      <w:r w:rsidR="00A0669F" w:rsidRPr="00A0669F">
        <w:rPr>
          <w:lang w:val="fr-FR"/>
        </w:rPr>
        <w:t>es</w:t>
      </w:r>
      <w:r w:rsidRPr="00A0669F">
        <w:rPr>
          <w:lang w:val="fr-FR"/>
        </w:rPr>
        <w:t xml:space="preserve"> conceptions </w:t>
      </w:r>
      <w:r w:rsidR="00A0669F" w:rsidRPr="00A0669F">
        <w:rPr>
          <w:lang w:val="fr-FR"/>
        </w:rPr>
        <w:t xml:space="preserve">autres </w:t>
      </w:r>
      <w:r w:rsidRPr="00A0669F">
        <w:rPr>
          <w:lang w:val="fr-FR"/>
        </w:rPr>
        <w:t xml:space="preserve">de la nature </w:t>
      </w:r>
      <w:r w:rsidR="00A0669F" w:rsidRPr="00A0669F">
        <w:rPr>
          <w:lang w:val="fr-FR"/>
        </w:rPr>
        <w:t>du</w:t>
      </w:r>
      <w:r w:rsidRPr="00A0669F">
        <w:rPr>
          <w:lang w:val="fr-FR"/>
        </w:rPr>
        <w:t xml:space="preserve"> territoire.</w:t>
      </w:r>
    </w:p>
    <w:p w:rsidR="00A85239" w:rsidRPr="00A0669F" w:rsidRDefault="00A85239" w:rsidP="00A85239">
      <w:pPr>
        <w:autoSpaceDE w:val="0"/>
        <w:autoSpaceDN w:val="0"/>
        <w:adjustRightInd w:val="0"/>
        <w:jc w:val="both"/>
        <w:rPr>
          <w:lang w:val="fr-FR"/>
        </w:rPr>
      </w:pPr>
      <w:r w:rsidRPr="00A0669F">
        <w:rPr>
          <w:lang w:val="fr-FR"/>
        </w:rPr>
        <w:t xml:space="preserve">Ainsi, la vision hégémonique et instrumentale du territoire (le territoire au service du développement) masque sa dimension conflictuelle, inhérente à son caractère </w:t>
      </w:r>
      <w:proofErr w:type="spellStart"/>
      <w:r w:rsidRPr="00A0669F">
        <w:rPr>
          <w:lang w:val="fr-FR"/>
        </w:rPr>
        <w:t>multi</w:t>
      </w:r>
      <w:r w:rsidR="00A0669F" w:rsidRPr="00A0669F">
        <w:rPr>
          <w:lang w:val="fr-FR"/>
        </w:rPr>
        <w:t>scalaire</w:t>
      </w:r>
      <w:proofErr w:type="spellEnd"/>
      <w:r w:rsidRPr="00A0669F">
        <w:rPr>
          <w:lang w:val="fr-FR"/>
        </w:rPr>
        <w:t xml:space="preserve"> et multidimensionnel. </w:t>
      </w:r>
      <w:r w:rsidR="00A0669F" w:rsidRPr="00A0669F">
        <w:rPr>
          <w:lang w:val="fr-FR"/>
        </w:rPr>
        <w:t>Elle</w:t>
      </w:r>
      <w:r w:rsidRPr="00A0669F">
        <w:rPr>
          <w:lang w:val="fr-FR"/>
        </w:rPr>
        <w:t xml:space="preserve"> ignore les travaux des géographes qui ont montré avec force comment, dans l'espace géographique, il </w:t>
      </w:r>
      <w:r w:rsidR="00A0669F" w:rsidRPr="00A0669F">
        <w:rPr>
          <w:lang w:val="fr-FR"/>
        </w:rPr>
        <w:t>existe de multiples</w:t>
      </w:r>
      <w:r w:rsidRPr="00A0669F">
        <w:rPr>
          <w:lang w:val="fr-FR"/>
        </w:rPr>
        <w:t xml:space="preserve"> territoires, c'est-à-dire des « espaces appropriés, des espaces faits </w:t>
      </w:r>
      <w:r w:rsidR="00A0669F" w:rsidRPr="00A0669F">
        <w:rPr>
          <w:lang w:val="fr-FR"/>
        </w:rPr>
        <w:t>siens</w:t>
      </w:r>
      <w:r w:rsidRPr="00A0669F">
        <w:rPr>
          <w:lang w:val="fr-FR"/>
        </w:rPr>
        <w:t xml:space="preserve"> et institués par des sujets et des groupes sociaux qui s'affirment à travers lui » (Porto- </w:t>
      </w:r>
      <w:proofErr w:type="spellStart"/>
      <w:r w:rsidRPr="00A0669F">
        <w:rPr>
          <w:lang w:val="fr-FR"/>
        </w:rPr>
        <w:t>Gonzalès</w:t>
      </w:r>
      <w:proofErr w:type="spellEnd"/>
      <w:r w:rsidRPr="00A0669F">
        <w:rPr>
          <w:lang w:val="fr-FR"/>
        </w:rPr>
        <w:t>, 2009). L</w:t>
      </w:r>
      <w:r w:rsidR="00A0669F" w:rsidRPr="00A0669F">
        <w:rPr>
          <w:lang w:val="fr-FR"/>
        </w:rPr>
        <w:t>a conflictualité du</w:t>
      </w:r>
      <w:r w:rsidRPr="00A0669F">
        <w:rPr>
          <w:lang w:val="fr-FR"/>
        </w:rPr>
        <w:t xml:space="preserve"> territoire ne doit pas être compris</w:t>
      </w:r>
      <w:r w:rsidR="00A0669F" w:rsidRPr="00A0669F">
        <w:rPr>
          <w:lang w:val="fr-FR"/>
        </w:rPr>
        <w:t>e</w:t>
      </w:r>
      <w:r w:rsidRPr="00A0669F">
        <w:rPr>
          <w:lang w:val="fr-FR"/>
        </w:rPr>
        <w:t xml:space="preserve"> comme l'existence de conflits pour le contrôle </w:t>
      </w:r>
      <w:r w:rsidRPr="00A0669F">
        <w:rPr>
          <w:i/>
          <w:iCs/>
          <w:lang w:val="fr-FR"/>
        </w:rPr>
        <w:t>du</w:t>
      </w:r>
      <w:r w:rsidRPr="00A0669F">
        <w:rPr>
          <w:lang w:val="fr-FR"/>
        </w:rPr>
        <w:t xml:space="preserve"> territoire mais plutôt comme la dynamique </w:t>
      </w:r>
      <w:r w:rsidR="00A0669F" w:rsidRPr="00A0669F">
        <w:rPr>
          <w:lang w:val="fr-FR"/>
        </w:rPr>
        <w:t xml:space="preserve">propre </w:t>
      </w:r>
      <w:r w:rsidRPr="00A0669F">
        <w:rPr>
          <w:lang w:val="fr-FR"/>
        </w:rPr>
        <w:t xml:space="preserve">de la </w:t>
      </w:r>
      <w:proofErr w:type="spellStart"/>
      <w:r w:rsidRPr="00A0669F">
        <w:rPr>
          <w:lang w:val="fr-FR"/>
        </w:rPr>
        <w:t>multiterritorialité</w:t>
      </w:r>
      <w:proofErr w:type="spellEnd"/>
      <w:r w:rsidRPr="00A0669F">
        <w:rPr>
          <w:lang w:val="fr-FR"/>
        </w:rPr>
        <w:t xml:space="preserve"> qui </w:t>
      </w:r>
      <w:r w:rsidR="00A0669F" w:rsidRPr="00A0669F">
        <w:rPr>
          <w:lang w:val="fr-FR"/>
        </w:rPr>
        <w:t>le constitue</w:t>
      </w:r>
      <w:r w:rsidRPr="00A0669F">
        <w:rPr>
          <w:lang w:val="fr-FR"/>
        </w:rPr>
        <w:t xml:space="preserve">. Les groupes et les sujets sociaux habitent, s'approprient et valorisent leurs territoires de manière </w:t>
      </w:r>
      <w:r w:rsidR="00A0669F" w:rsidRPr="00A0669F">
        <w:rPr>
          <w:lang w:val="fr-FR"/>
        </w:rPr>
        <w:t>singulière</w:t>
      </w:r>
      <w:r w:rsidRPr="00A0669F">
        <w:rPr>
          <w:lang w:val="fr-FR"/>
        </w:rPr>
        <w:t xml:space="preserve">, et chacun de ces territoires </w:t>
      </w:r>
      <w:r w:rsidR="00A0669F">
        <w:rPr>
          <w:lang w:val="fr-FR"/>
        </w:rPr>
        <w:t>détient</w:t>
      </w:r>
      <w:r w:rsidRPr="00A0669F">
        <w:rPr>
          <w:lang w:val="fr-FR"/>
        </w:rPr>
        <w:t xml:space="preserve"> une signification particulière pour ces groupes et sujets. D'où l'étonnante richesse sémantique de </w:t>
      </w:r>
      <w:r w:rsidR="00A0669F" w:rsidRPr="00A0669F">
        <w:rPr>
          <w:lang w:val="fr-FR"/>
        </w:rPr>
        <w:t>cette</w:t>
      </w:r>
      <w:r w:rsidRPr="00A0669F">
        <w:rPr>
          <w:lang w:val="fr-FR"/>
        </w:rPr>
        <w:t xml:space="preserve"> notion qui traduit la pluralité des conceptions et des usages sociaux et politiques</w:t>
      </w:r>
      <w:r w:rsidR="00A0669F" w:rsidRPr="00A0669F">
        <w:rPr>
          <w:lang w:val="fr-FR"/>
        </w:rPr>
        <w:t xml:space="preserve"> auxquels elle donne lieu</w:t>
      </w:r>
      <w:r w:rsidRPr="00A0669F">
        <w:rPr>
          <w:lang w:val="fr-FR"/>
        </w:rPr>
        <w:t>.</w:t>
      </w:r>
    </w:p>
    <w:p w:rsidR="00F71C8D" w:rsidRPr="00A0669F" w:rsidRDefault="00583505" w:rsidP="00583505">
      <w:pPr>
        <w:jc w:val="both"/>
        <w:rPr>
          <w:lang w:val="fr-FR"/>
        </w:rPr>
      </w:pPr>
      <w:r w:rsidRPr="00A0669F">
        <w:rPr>
          <w:lang w:val="fr-FR"/>
        </w:rPr>
        <w:t xml:space="preserve">Le cours partira d’une mise en contexte historique de l’émergence de nouvelles </w:t>
      </w:r>
      <w:r w:rsidR="00123FD9" w:rsidRPr="00A0669F">
        <w:rPr>
          <w:lang w:val="fr-FR"/>
        </w:rPr>
        <w:t>compréhensions</w:t>
      </w:r>
      <w:r w:rsidRPr="00A0669F">
        <w:rPr>
          <w:lang w:val="fr-FR"/>
        </w:rPr>
        <w:t xml:space="preserve"> d</w:t>
      </w:r>
      <w:r w:rsidR="00123FD9" w:rsidRPr="00A0669F">
        <w:rPr>
          <w:lang w:val="fr-FR"/>
        </w:rPr>
        <w:t>e l’idée de</w:t>
      </w:r>
      <w:r w:rsidRPr="00A0669F">
        <w:rPr>
          <w:lang w:val="fr-FR"/>
        </w:rPr>
        <w:t xml:space="preserve"> territoire</w:t>
      </w:r>
      <w:r w:rsidR="00123FD9" w:rsidRPr="00A0669F">
        <w:rPr>
          <w:lang w:val="fr-FR"/>
        </w:rPr>
        <w:t xml:space="preserve"> au sein de différents mouvements sociaux </w:t>
      </w:r>
      <w:r w:rsidR="00A0669F" w:rsidRPr="00A0669F">
        <w:rPr>
          <w:lang w:val="fr-FR"/>
        </w:rPr>
        <w:t>latino-américains</w:t>
      </w:r>
      <w:r w:rsidR="00123FD9" w:rsidRPr="00A0669F">
        <w:rPr>
          <w:lang w:val="fr-FR"/>
        </w:rPr>
        <w:t xml:space="preserve"> qui s’opposèrent à la conception du territoire prévalant dans les politiques territoriales menées par les </w:t>
      </w:r>
      <w:r w:rsidR="00A0669F" w:rsidRPr="00A0669F">
        <w:rPr>
          <w:lang w:val="fr-FR"/>
        </w:rPr>
        <w:t>États</w:t>
      </w:r>
      <w:r w:rsidR="00123FD9" w:rsidRPr="00A0669F">
        <w:rPr>
          <w:lang w:val="fr-FR"/>
        </w:rPr>
        <w:t xml:space="preserve">. Il permettra ensuite de faire le point sur la manière dont la géographie critique latino-américaine s’est emparée du concept pour le préciser et lui donner une portée qui fait écho aux revendications des mouvements sociaux. La deuxième partie du cours sera consacrée à l’étude de problématiques plus spécifiques </w:t>
      </w:r>
      <w:r w:rsidR="00C966D3" w:rsidRPr="00A0669F">
        <w:rPr>
          <w:lang w:val="fr-FR"/>
        </w:rPr>
        <w:t>et à la révision conceptuelle de formulations plus récentes (“conflits territoriaux”, “droit au territoire”, “paix territoriale”), qui invitent à approfondir notre compréhension de ce qu’est le territoire, ses usages et enjeux, dans le cadre des débats et luttes sociales actuelles en Amérique latine.</w:t>
      </w:r>
      <w:r w:rsidR="00123FD9" w:rsidRPr="00A0669F">
        <w:rPr>
          <w:lang w:val="fr-FR"/>
        </w:rPr>
        <w:t xml:space="preserve">  </w:t>
      </w:r>
    </w:p>
    <w:p w:rsidR="00F86D97" w:rsidRPr="00A0669F" w:rsidRDefault="00A0669F" w:rsidP="00583505">
      <w:pPr>
        <w:pStyle w:val="HTMLconformatoprevio"/>
        <w:spacing w:after="120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Les sessions proposées</w:t>
      </w:r>
      <w:r w:rsidR="00F86D97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sont les 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suivantes :</w:t>
      </w:r>
    </w:p>
    <w:p w:rsidR="00076C2B" w:rsidRDefault="001D7092" w:rsidP="00C2459F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1. 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 concept de territoire et la géographie critique latino-américaine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</w:p>
    <w:p w:rsidR="00076C2B" w:rsidRDefault="001D7092" w:rsidP="00C2459F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2. 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La construction des territoires nationaux en Amérique latine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</w:p>
    <w:p w:rsidR="00076C2B" w:rsidRDefault="00076C2B" w:rsidP="00C2459F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3. </w:t>
      </w:r>
      <w:r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Aménagement du territoire et développement</w:t>
      </w:r>
      <w:r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</w:p>
    <w:p w:rsidR="00076C2B" w:rsidRDefault="001D7092" w:rsidP="00583505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4. 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 multiculturalisme et la reconnaissance de droits territoriaux</w:t>
      </w:r>
      <w:r w:rsidR="00076C2B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</w:p>
    <w:p w:rsidR="001D7092" w:rsidRPr="00076C2B" w:rsidRDefault="00076C2B" w:rsidP="00076C2B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lastRenderedPageBreak/>
        <w:t xml:space="preserve">5. </w:t>
      </w:r>
      <w:r w:rsidR="008D653E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Identités paysannes et territoire </w:t>
      </w:r>
    </w:p>
    <w:p w:rsidR="001D7092" w:rsidRPr="00A0669F" w:rsidRDefault="001D7092" w:rsidP="00583505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6. Périmètres, limites</w:t>
      </w:r>
      <w:r w:rsid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aires protégées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et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multiterritorialités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</w:p>
    <w:p w:rsidR="001D7092" w:rsidRPr="00A0669F" w:rsidRDefault="001D7092" w:rsidP="00583505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7. Le sol, le sous-sol et le territoire</w:t>
      </w:r>
    </w:p>
    <w:p w:rsidR="001D7092" w:rsidRPr="00A0669F" w:rsidRDefault="001D7092" w:rsidP="00583505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8. Déterritorialisation, spoliations et destructions de territoires</w:t>
      </w:r>
    </w:p>
    <w:p w:rsidR="001D7092" w:rsidRPr="00A0669F" w:rsidRDefault="001D7092" w:rsidP="00583505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9. </w:t>
      </w:r>
      <w:r w:rsid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onflits environnementaux</w:t>
      </w:r>
      <w:r w:rsid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conflits territoriaux</w:t>
      </w:r>
    </w:p>
    <w:p w:rsidR="001D7092" w:rsidRPr="00076C2B" w:rsidRDefault="001D7092" w:rsidP="00076C2B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10. Les droits de la nature</w:t>
      </w:r>
      <w:r w:rsid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 : 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 de nouvelles perspectives pour l’aménagement du territoire</w:t>
      </w:r>
    </w:p>
    <w:p w:rsidR="001D7092" w:rsidRPr="00076C2B" w:rsidRDefault="001D7092" w:rsidP="00076C2B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11. </w:t>
      </w:r>
      <w:r w:rsid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</w:t>
      </w:r>
      <w:r w:rsidR="00076C2B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 paix territoriale</w:t>
      </w:r>
    </w:p>
    <w:p w:rsidR="001D7092" w:rsidRPr="00A0669F" w:rsidRDefault="001D7092" w:rsidP="00583505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12. </w:t>
      </w:r>
      <w:r w:rsidR="00076C2B" w:rsidRPr="00076C2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Justice spatiale et droit au territoire</w:t>
      </w:r>
    </w:p>
    <w:p w:rsidR="00F86D97" w:rsidRPr="00A0669F" w:rsidRDefault="00F86D97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</w:p>
    <w:p w:rsidR="00616252" w:rsidRPr="00A0669F" w:rsidRDefault="00B5683F" w:rsidP="00583505">
      <w:pPr>
        <w:pStyle w:val="HTMLconformatoprevi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>Méthodologie</w:t>
      </w:r>
      <w:r w:rsidR="00A0669F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 </w:t>
      </w:r>
      <w:r w:rsidRPr="00A0669F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: </w:t>
      </w:r>
    </w:p>
    <w:p w:rsidR="00A0669F" w:rsidRPr="00A0669F" w:rsidRDefault="00BF7160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Séminaire avec introduction thématique du professeur et discussions à partir des lectures et documents fournis (articles de presse, vidéos,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etc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).</w:t>
      </w:r>
    </w:p>
    <w:p w:rsidR="00BF7160" w:rsidRPr="00A0669F" w:rsidRDefault="00A0669F" w:rsidP="00583505">
      <w:pPr>
        <w:pStyle w:val="HTMLconformatoprevi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>Évaluation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 </w:t>
      </w:r>
      <w:r w:rsidR="00B5683F" w:rsidRPr="00A0669F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>:</w:t>
      </w:r>
      <w:r w:rsidR="00BF7160" w:rsidRPr="00A0669F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 </w:t>
      </w:r>
    </w:p>
    <w:p w:rsidR="00076C2B" w:rsidRDefault="00076C2B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1 r</w:t>
      </w:r>
      <w:r w:rsidR="00BF7160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evue</w:t>
      </w:r>
      <w:bookmarkStart w:id="0" w:name="_GoBack"/>
      <w:bookmarkEnd w:id="0"/>
      <w:r w:rsidR="00BF7160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critique de lectures</w:t>
      </w:r>
      <w:r w:rsidR="00AA33C6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(oral, individuel ou à 2)</w:t>
      </w:r>
    </w:p>
    <w:p w:rsidR="00616252" w:rsidRPr="00A0669F" w:rsidRDefault="00076C2B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 </w:t>
      </w:r>
      <w:r w:rsidR="00AA33C6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analyse d’une étude de cas, au choix des étudiants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à rendre par écrit lors de la séance nº10</w:t>
      </w:r>
      <w:r w:rsidR="00B23EFE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</w:t>
      </w:r>
    </w:p>
    <w:p w:rsidR="00BF7160" w:rsidRPr="00A0669F" w:rsidRDefault="00BF7160" w:rsidP="00583505">
      <w:pPr>
        <w:jc w:val="both"/>
        <w:rPr>
          <w:b/>
          <w:bCs/>
          <w:lang w:val="fr-FR"/>
        </w:rPr>
      </w:pPr>
    </w:p>
    <w:p w:rsidR="0034326A" w:rsidRPr="00A0669F" w:rsidRDefault="0034326A" w:rsidP="00583505">
      <w:pPr>
        <w:jc w:val="both"/>
        <w:rPr>
          <w:b/>
          <w:bCs/>
          <w:lang w:val="fr-FR"/>
        </w:rPr>
      </w:pPr>
      <w:r w:rsidRPr="00A0669F">
        <w:rPr>
          <w:b/>
          <w:bCs/>
          <w:lang w:val="fr-FR"/>
        </w:rPr>
        <w:t>Bibliographie sommaire :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Beuf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Alice &amp;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Rincon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Patricia. (2017).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Ordenar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los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territorios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.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Perspectivas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críticas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desde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América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Latina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Bogotá: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Universidad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Nacional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de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Colombia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/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Uniandes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/IFEA.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Beuf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Alice. "Los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significados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del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Ensayo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interpretativo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de los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discursos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sobre el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de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movimientos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sociales en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Colombia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". In : 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Scripta Nova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Revista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Electrónica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de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Geografía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y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Ciencias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Sociales. ISSN en </w:t>
      </w:r>
      <w:proofErr w:type="spellStart"/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línea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1138-9788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Cataia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Marcio.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Territorialidade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Estatal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e Outras </w:t>
      </w:r>
      <w:proofErr w:type="spellStart"/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Territorialidades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Novas Formas de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Uso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dos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Territorios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na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América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Latina.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Conflitos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Desafios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e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Alternativas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Scripta Nova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(Barcelona), v. XII, p. 270/99, 2008.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Fals Borda, Orlando. (1996).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Región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e Historia.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Elementos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sobre el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ordenamiento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y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equilibrio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regional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en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Colombia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Bogotá: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Tercer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Mundo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Fernandes, Bernardo M. (2009).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teoría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y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política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En Fabio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Lozano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y Juan Guillermo Ferro (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Editores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). 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Las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configuraciones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de los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territorios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rurales en el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siglo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XXI.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Bogotá: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Pontificia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Universidad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Javeriana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- Forget, M., Guibert, M. &amp; 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Carrizo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S. (2018). La territorialisation en Argentine des activités tournées vers l’exportation (mine, hydrocarbures, agriculture) : entre conflits et co-production socio-spatiale.</w:t>
      </w:r>
      <w:r w:rsidR="00F9295A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Les Cahiers d'Outre-Mer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278, 249</w:t>
      </w:r>
      <w:r w:rsidR="004C6AB9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-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268.</w:t>
      </w:r>
      <w:r w:rsidR="004C6AB9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https://doi.org/10.4000/com.9095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Gisclard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M., 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Lysaniuk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B. &amp; 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Mesclier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É. (2015). Le territoire, solution limitée aux problèmes de développement ? 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L’Espace géographique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44, 193-197. </w:t>
      </w:r>
      <w:r w:rsidR="00F9295A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https://doi.org/10.3917/eg.443.0193</w:t>
      </w:r>
    </w:p>
    <w:p w:rsidR="00F9295A" w:rsidRPr="00A0669F" w:rsidRDefault="00F9295A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Lederach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A. (2019). "El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campesino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nació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para el campo</w:t>
      </w:r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”: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un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enfoque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multiespecies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hacia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la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paz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territorial en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Colombia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Maguaré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33(2), 171-207. https://doi.org/10.15446/mag.v33n2.86200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Haesbaert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Rogerio</w:t>
      </w:r>
      <w:proofErr w:type="spellEnd"/>
      <w:r w:rsidR="004C6AB9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 2013.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Del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mito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de la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desterritorialización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a la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multiterritorialidad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, Cultura y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representaciones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sociales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A.o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8, n.m. 15,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septiembre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2013.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lastRenderedPageBreak/>
        <w:t>- Porto-Gonçalves, Carlos Walter</w:t>
      </w:r>
      <w:r w:rsidR="004C6AB9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2001</w:t>
      </w:r>
      <w:r w:rsidR="004C6AB9"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Geo-</w:t>
      </w:r>
      <w:proofErr w:type="gram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grafías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:</w:t>
      </w:r>
      <w:proofErr w:type="gram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Movimientos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sociales,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nuevas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territorialidades</w:t>
      </w:r>
      <w:proofErr w:type="spellEnd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y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sustentabilidad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Siglo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XXI.</w:t>
      </w:r>
    </w:p>
    <w:p w:rsidR="008D653E" w:rsidRPr="00A0669F" w:rsidRDefault="008D653E" w:rsidP="00583505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-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Sandoval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M. F. L.,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Robertsdotter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A., &amp;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Paredes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M. 2017.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Space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Power, and </w:t>
      </w:r>
      <w:proofErr w:type="spellStart"/>
      <w:proofErr w:type="gram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Locality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:</w:t>
      </w:r>
      <w:proofErr w:type="gram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the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Contemporary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Use of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Territorio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in Latin American </w:t>
      </w:r>
      <w:proofErr w:type="spellStart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Geography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Journal of Latin American </w:t>
      </w:r>
      <w:proofErr w:type="spellStart"/>
      <w:r w:rsidRPr="00A0669F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Geography</w:t>
      </w:r>
      <w:proofErr w:type="spellEnd"/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16(1), 43–67. </w:t>
      </w:r>
      <w:hyperlink r:id="rId7" w:history="1">
        <w:r w:rsidRPr="00A0669F">
          <w:rPr>
            <w:rStyle w:val="Hipervnculo"/>
            <w:rFonts w:asciiTheme="minorHAnsi" w:eastAsiaTheme="minorHAnsi" w:hAnsiTheme="minorHAnsi" w:cstheme="minorBidi"/>
            <w:sz w:val="24"/>
            <w:szCs w:val="24"/>
            <w:lang w:val="fr-FR" w:eastAsia="en-US"/>
          </w:rPr>
          <w:t>http://www.jstor.org/stable/44861311</w:t>
        </w:r>
      </w:hyperlink>
    </w:p>
    <w:sectPr w:rsidR="008D653E" w:rsidRPr="00A0669F" w:rsidSect="00474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33F4" w:rsidRDefault="00A433F4" w:rsidP="00F71C8D">
      <w:r>
        <w:separator/>
      </w:r>
    </w:p>
  </w:endnote>
  <w:endnote w:type="continuationSeparator" w:id="0">
    <w:p w:rsidR="00A433F4" w:rsidRDefault="00A433F4" w:rsidP="00F7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">
    <w:altName w:val="Arial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33F4" w:rsidRDefault="00A433F4" w:rsidP="00F71C8D">
      <w:r>
        <w:separator/>
      </w:r>
    </w:p>
  </w:footnote>
  <w:footnote w:type="continuationSeparator" w:id="0">
    <w:p w:rsidR="00A433F4" w:rsidRDefault="00A433F4" w:rsidP="00F7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5D5"/>
    <w:multiLevelType w:val="hybridMultilevel"/>
    <w:tmpl w:val="3C8E74B6"/>
    <w:lvl w:ilvl="0" w:tplc="A1442BA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A122C"/>
    <w:multiLevelType w:val="hybridMultilevel"/>
    <w:tmpl w:val="E974C8A4"/>
    <w:lvl w:ilvl="0" w:tplc="CCDEE99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15B5F"/>
    <w:multiLevelType w:val="hybridMultilevel"/>
    <w:tmpl w:val="46A23B58"/>
    <w:lvl w:ilvl="0" w:tplc="9F1A316C">
      <w:start w:val="2021"/>
      <w:numFmt w:val="bullet"/>
      <w:lvlText w:val="-"/>
      <w:lvlJc w:val="left"/>
      <w:pPr>
        <w:ind w:left="720" w:hanging="360"/>
      </w:pPr>
      <w:rPr>
        <w:rFonts w:ascii="Ancizar Sans" w:eastAsiaTheme="minorEastAsia" w:hAnsi="Ancizar Sans" w:cs="Ancizar Sans 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21B08"/>
    <w:multiLevelType w:val="hybridMultilevel"/>
    <w:tmpl w:val="AF4EE430"/>
    <w:lvl w:ilvl="0" w:tplc="10AA8A7E">
      <w:start w:val="2021"/>
      <w:numFmt w:val="bullet"/>
      <w:lvlText w:val="-"/>
      <w:lvlJc w:val="left"/>
      <w:pPr>
        <w:ind w:left="720" w:hanging="360"/>
      </w:pPr>
      <w:rPr>
        <w:rFonts w:ascii="Ancizar Sans" w:eastAsiaTheme="minorEastAsia" w:hAnsi="Ancizar Sans" w:cs="Ancizar Sans 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6A"/>
    <w:rsid w:val="00076C2B"/>
    <w:rsid w:val="0011400C"/>
    <w:rsid w:val="00123FD9"/>
    <w:rsid w:val="001B2914"/>
    <w:rsid w:val="001D7092"/>
    <w:rsid w:val="0034326A"/>
    <w:rsid w:val="00367FE0"/>
    <w:rsid w:val="003A30CA"/>
    <w:rsid w:val="004747F0"/>
    <w:rsid w:val="004B6E18"/>
    <w:rsid w:val="004C6AB9"/>
    <w:rsid w:val="004F6E65"/>
    <w:rsid w:val="0050333C"/>
    <w:rsid w:val="00520CBC"/>
    <w:rsid w:val="00522BD5"/>
    <w:rsid w:val="00583505"/>
    <w:rsid w:val="00594BC5"/>
    <w:rsid w:val="005A4209"/>
    <w:rsid w:val="005C164B"/>
    <w:rsid w:val="00616252"/>
    <w:rsid w:val="006629DF"/>
    <w:rsid w:val="006A2E89"/>
    <w:rsid w:val="006B50E3"/>
    <w:rsid w:val="008150A7"/>
    <w:rsid w:val="00844794"/>
    <w:rsid w:val="008B1A00"/>
    <w:rsid w:val="008C28F0"/>
    <w:rsid w:val="008D653E"/>
    <w:rsid w:val="00992783"/>
    <w:rsid w:val="00A0669F"/>
    <w:rsid w:val="00A433F4"/>
    <w:rsid w:val="00A85239"/>
    <w:rsid w:val="00AA33C6"/>
    <w:rsid w:val="00AA4AC1"/>
    <w:rsid w:val="00AD0AEF"/>
    <w:rsid w:val="00B23EFE"/>
    <w:rsid w:val="00B4400D"/>
    <w:rsid w:val="00B5683F"/>
    <w:rsid w:val="00BF7160"/>
    <w:rsid w:val="00C966D3"/>
    <w:rsid w:val="00DE2214"/>
    <w:rsid w:val="00E723E2"/>
    <w:rsid w:val="00F276A0"/>
    <w:rsid w:val="00F3474A"/>
    <w:rsid w:val="00F71C8D"/>
    <w:rsid w:val="00F86D97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7D6509"/>
  <w15:chartTrackingRefBased/>
  <w15:docId w15:val="{BFAF7758-6967-3D4C-98FD-C8D57E5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34326A"/>
    <w:pP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sz w:val="22"/>
      <w:szCs w:val="22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3432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32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326A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4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4326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4326A"/>
  </w:style>
  <w:style w:type="character" w:styleId="Mencinsinresolver">
    <w:name w:val="Unresolved Mention"/>
    <w:basedOn w:val="Fuentedeprrafopredeter"/>
    <w:uiPriority w:val="99"/>
    <w:semiHidden/>
    <w:unhideWhenUsed/>
    <w:rsid w:val="00F3474A"/>
    <w:rPr>
      <w:color w:val="605E5C"/>
      <w:shd w:val="clear" w:color="auto" w:fill="E1DFDD"/>
    </w:rPr>
  </w:style>
  <w:style w:type="character" w:customStyle="1" w:styleId="uppercase">
    <w:name w:val="uppercase"/>
    <w:basedOn w:val="Fuentedeprrafopredeter"/>
    <w:rsid w:val="008D653E"/>
  </w:style>
  <w:style w:type="character" w:customStyle="1" w:styleId="apple-converted-space">
    <w:name w:val="apple-converted-space"/>
    <w:basedOn w:val="Fuentedeprrafopredeter"/>
    <w:rsid w:val="008D653E"/>
  </w:style>
  <w:style w:type="paragraph" w:styleId="Textodeglobo">
    <w:name w:val="Balloon Text"/>
    <w:basedOn w:val="Normal"/>
    <w:link w:val="TextodegloboCar"/>
    <w:uiPriority w:val="99"/>
    <w:semiHidden/>
    <w:unhideWhenUsed/>
    <w:rsid w:val="00F71C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C8D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F71C8D"/>
    <w:rPr>
      <w:rFonts w:ascii="Cambria" w:eastAsia="MS Mincho" w:hAnsi="Cambria" w:cs="Times New Roman"/>
      <w:sz w:val="20"/>
      <w:szCs w:val="20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rsid w:val="00F71C8D"/>
    <w:rPr>
      <w:rFonts w:ascii="Cambria" w:eastAsia="MS Mincho" w:hAnsi="Cambria" w:cs="Times New Roman"/>
      <w:sz w:val="20"/>
      <w:szCs w:val="20"/>
      <w:lang w:val="fr-FR" w:eastAsia="fr-FR"/>
    </w:rPr>
  </w:style>
  <w:style w:type="character" w:styleId="Refdenotaalpie">
    <w:name w:val="footnote reference"/>
    <w:unhideWhenUsed/>
    <w:rsid w:val="00F71C8D"/>
    <w:rPr>
      <w:vertAlign w:val="superscript"/>
    </w:rPr>
  </w:style>
  <w:style w:type="paragraph" w:customStyle="1" w:styleId="Default">
    <w:name w:val="Default"/>
    <w:rsid w:val="00F71C8D"/>
    <w:pPr>
      <w:autoSpaceDE w:val="0"/>
      <w:autoSpaceDN w:val="0"/>
      <w:adjustRightInd w:val="0"/>
    </w:pPr>
    <w:rPr>
      <w:rFonts w:ascii="Calibri" w:eastAsia="MS Mincho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44861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Beuf</dc:creator>
  <cp:keywords/>
  <dc:description/>
  <cp:lastModifiedBy>Alice Beuf</cp:lastModifiedBy>
  <cp:revision>3</cp:revision>
  <dcterms:created xsi:type="dcterms:W3CDTF">2022-09-20T11:06:00Z</dcterms:created>
  <dcterms:modified xsi:type="dcterms:W3CDTF">2022-09-20T11:06:00Z</dcterms:modified>
</cp:coreProperties>
</file>