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B3D" w:rsidRPr="00B53162" w:rsidRDefault="00FA0B3D" w:rsidP="00FA0B3D">
      <w:pPr>
        <w:spacing w:after="0"/>
        <w:rPr>
          <w:rFonts w:ascii="Chaparral Pro" w:hAnsi="Chaparral Pro"/>
        </w:rPr>
      </w:pPr>
    </w:p>
    <w:p w:rsidR="00FA0B3D" w:rsidRPr="00B53162" w:rsidRDefault="00FA0B3D" w:rsidP="00FA0B3D">
      <w:pPr>
        <w:spacing w:after="0"/>
        <w:rPr>
          <w:rFonts w:ascii="Chaparral Pro" w:hAnsi="Chaparral Pro"/>
        </w:rPr>
      </w:pPr>
      <w:r w:rsidRPr="00B53162">
        <w:rPr>
          <w:rFonts w:ascii="Chaparral Pro" w:hAnsi="Chaparral Pro"/>
        </w:rPr>
        <w:t>Séminaire Grands Espaces – CREDAL – 10 avril 2015</w:t>
      </w:r>
    </w:p>
    <w:p w:rsidR="00FA0B3D" w:rsidRPr="00B53162" w:rsidRDefault="00FA0B3D" w:rsidP="00FA0B3D">
      <w:pPr>
        <w:spacing w:after="0"/>
        <w:rPr>
          <w:rFonts w:ascii="Chaparral Pro" w:hAnsi="Chaparral Pro"/>
        </w:rPr>
      </w:pPr>
    </w:p>
    <w:p w:rsidR="00FA0B3D" w:rsidRPr="00B53162" w:rsidRDefault="00FA0B3D" w:rsidP="00FA0B3D">
      <w:pPr>
        <w:spacing w:after="0"/>
        <w:rPr>
          <w:rFonts w:ascii="Chaparral Pro" w:hAnsi="Chaparral Pro"/>
          <w:b/>
        </w:rPr>
      </w:pPr>
      <w:r w:rsidRPr="00B53162">
        <w:rPr>
          <w:rFonts w:ascii="Chaparral Pro" w:hAnsi="Chaparral Pro"/>
          <w:b/>
          <w:u w:val="single"/>
        </w:rPr>
        <w:t>Titre</w:t>
      </w:r>
      <w:r w:rsidRPr="00B53162">
        <w:rPr>
          <w:rFonts w:ascii="Chaparral Pro" w:hAnsi="Chaparral Pro"/>
          <w:b/>
        </w:rPr>
        <w:t xml:space="preserve"> : </w:t>
      </w:r>
    </w:p>
    <w:p w:rsidR="00FA0B3D" w:rsidRPr="00B53162" w:rsidRDefault="00FA0B3D" w:rsidP="00FA0B3D">
      <w:pPr>
        <w:spacing w:after="0"/>
        <w:rPr>
          <w:rFonts w:ascii="Chaparral Pro" w:hAnsi="Chaparral Pro"/>
        </w:rPr>
      </w:pPr>
      <w:r w:rsidRPr="00B53162">
        <w:rPr>
          <w:rFonts w:ascii="Chaparral Pro" w:hAnsi="Chaparral Pro"/>
        </w:rPr>
        <w:t>Du « Rapport Berger </w:t>
      </w:r>
      <w:r w:rsidRPr="000E6168">
        <w:rPr>
          <w:rFonts w:ascii="Chaparral Pro" w:hAnsi="Chaparral Pro"/>
        </w:rPr>
        <w:t>» (197</w:t>
      </w:r>
      <w:r w:rsidR="000E6168" w:rsidRPr="000E6168">
        <w:rPr>
          <w:rFonts w:ascii="Chaparral Pro" w:hAnsi="Chaparral Pro"/>
        </w:rPr>
        <w:t>7</w:t>
      </w:r>
      <w:r w:rsidRPr="000E6168">
        <w:rPr>
          <w:rFonts w:ascii="Chaparral Pro" w:hAnsi="Chaparral Pro"/>
        </w:rPr>
        <w:t>) à l’ouverture</w:t>
      </w:r>
      <w:r w:rsidRPr="00B53162">
        <w:rPr>
          <w:rFonts w:ascii="Chaparral Pro" w:hAnsi="Chaparral Pro"/>
        </w:rPr>
        <w:t xml:space="preserve"> de la mine de fer de Mary River (2015) : les habitants du Grand Nord canadien et l’exploitation des ressources naturelles.</w:t>
      </w:r>
    </w:p>
    <w:p w:rsidR="00FA0B3D" w:rsidRPr="00B53162" w:rsidRDefault="00FA0B3D" w:rsidP="00FA0B3D">
      <w:pPr>
        <w:spacing w:after="0"/>
        <w:rPr>
          <w:rFonts w:ascii="Chaparral Pro" w:hAnsi="Chaparral Pro"/>
        </w:rPr>
      </w:pPr>
    </w:p>
    <w:p w:rsidR="00B53162" w:rsidRPr="00B53162" w:rsidRDefault="00FA0B3D" w:rsidP="00FA0B3D">
      <w:pPr>
        <w:spacing w:after="0"/>
        <w:rPr>
          <w:rFonts w:ascii="Chaparral Pro" w:hAnsi="Chaparral Pro"/>
          <w:b/>
        </w:rPr>
      </w:pPr>
      <w:r w:rsidRPr="00B53162">
        <w:rPr>
          <w:rFonts w:ascii="Chaparral Pro" w:hAnsi="Chaparral Pro"/>
          <w:b/>
          <w:u w:val="single"/>
        </w:rPr>
        <w:t>Résumé</w:t>
      </w:r>
      <w:r w:rsidRPr="00B53162">
        <w:rPr>
          <w:rFonts w:ascii="Chaparral Pro" w:hAnsi="Chaparral Pro"/>
          <w:b/>
        </w:rPr>
        <w:t> :</w:t>
      </w:r>
      <w:r w:rsidR="00B53162" w:rsidRPr="00B53162">
        <w:rPr>
          <w:rFonts w:ascii="Chaparral Pro" w:hAnsi="Chaparral Pro"/>
          <w:b/>
        </w:rPr>
        <w:t xml:space="preserve"> </w:t>
      </w:r>
    </w:p>
    <w:p w:rsidR="00FA0B3D" w:rsidRDefault="00B53162" w:rsidP="0026475D">
      <w:pPr>
        <w:spacing w:after="0"/>
        <w:jc w:val="both"/>
        <w:rPr>
          <w:rFonts w:ascii="Chaparral Pro" w:hAnsi="Chaparral Pro"/>
        </w:rPr>
      </w:pPr>
      <w:r w:rsidRPr="00B53162">
        <w:rPr>
          <w:rFonts w:ascii="Chaparral Pro" w:hAnsi="Chaparral Pro"/>
        </w:rPr>
        <w:t>E</w:t>
      </w:r>
      <w:r w:rsidR="00FA0B3D" w:rsidRPr="00B53162">
        <w:rPr>
          <w:rFonts w:ascii="Chaparral Pro" w:hAnsi="Chaparral Pro"/>
        </w:rPr>
        <w:t>n 197</w:t>
      </w:r>
      <w:r w:rsidR="000E6168">
        <w:rPr>
          <w:rFonts w:ascii="Chaparral Pro" w:hAnsi="Chaparral Pro"/>
        </w:rPr>
        <w:t>4</w:t>
      </w:r>
      <w:r w:rsidR="00FA0B3D" w:rsidRPr="00B53162">
        <w:rPr>
          <w:rFonts w:ascii="Chaparral Pro" w:hAnsi="Chaparral Pro"/>
        </w:rPr>
        <w:t xml:space="preserve">, le </w:t>
      </w:r>
      <w:r w:rsidRPr="000E6168">
        <w:rPr>
          <w:rFonts w:ascii="Chaparral Pro" w:hAnsi="Chaparral Pro"/>
        </w:rPr>
        <w:t>j</w:t>
      </w:r>
      <w:r w:rsidR="00FA0B3D" w:rsidRPr="000E6168">
        <w:rPr>
          <w:rFonts w:ascii="Chaparral Pro" w:hAnsi="Chaparral Pro"/>
        </w:rPr>
        <w:t xml:space="preserve">uge </w:t>
      </w:r>
      <w:r w:rsidR="000E6168" w:rsidRPr="000E6168">
        <w:rPr>
          <w:rFonts w:ascii="Chaparral Pro" w:hAnsi="Chaparral Pro"/>
        </w:rPr>
        <w:t xml:space="preserve">Thomas </w:t>
      </w:r>
      <w:r w:rsidR="00FA0B3D" w:rsidRPr="000E6168">
        <w:rPr>
          <w:rFonts w:ascii="Chaparral Pro" w:hAnsi="Chaparral Pro"/>
        </w:rPr>
        <w:t xml:space="preserve">Berger est chargé </w:t>
      </w:r>
      <w:r w:rsidR="000E6168" w:rsidRPr="000E6168">
        <w:rPr>
          <w:rFonts w:ascii="Chaparral Pro" w:hAnsi="Chaparral Pro"/>
        </w:rPr>
        <w:t xml:space="preserve">par le Gouvernement Fédéral du Canada d’une </w:t>
      </w:r>
      <w:r w:rsidR="00FA0B3D" w:rsidRPr="000E6168">
        <w:rPr>
          <w:rFonts w:ascii="Chaparral Pro" w:hAnsi="Chaparral Pro"/>
        </w:rPr>
        <w:t xml:space="preserve">enquête </w:t>
      </w:r>
      <w:r w:rsidR="000E6168" w:rsidRPr="000E6168">
        <w:rPr>
          <w:rFonts w:ascii="Chaparral Pro" w:hAnsi="Chaparral Pro"/>
        </w:rPr>
        <w:t>sur les conséquences économiques et sociales</w:t>
      </w:r>
      <w:r w:rsidR="00FA0B3D" w:rsidRPr="000E6168">
        <w:rPr>
          <w:rFonts w:ascii="Chaparral Pro" w:hAnsi="Chaparral Pro"/>
        </w:rPr>
        <w:t xml:space="preserve"> </w:t>
      </w:r>
      <w:r w:rsidR="000E6168" w:rsidRPr="000E6168">
        <w:rPr>
          <w:rFonts w:ascii="Chaparral Pro" w:hAnsi="Chaparral Pro"/>
        </w:rPr>
        <w:t>qu’aurait la</w:t>
      </w:r>
      <w:r w:rsidR="00FA0B3D" w:rsidRPr="000E6168">
        <w:rPr>
          <w:rFonts w:ascii="Chaparral Pro" w:hAnsi="Chaparral Pro"/>
        </w:rPr>
        <w:t xml:space="preserve"> construction d’un pipe-line le </w:t>
      </w:r>
      <w:r w:rsidRPr="000E6168">
        <w:rPr>
          <w:rFonts w:ascii="Chaparral Pro" w:hAnsi="Chaparral Pro"/>
        </w:rPr>
        <w:t>long de la v</w:t>
      </w:r>
      <w:r w:rsidR="000E6168" w:rsidRPr="000E6168">
        <w:rPr>
          <w:rFonts w:ascii="Chaparral Pro" w:hAnsi="Chaparral Pro"/>
        </w:rPr>
        <w:t>allée du Mackenzie (</w:t>
      </w:r>
      <w:r w:rsidR="000E6168" w:rsidRPr="000E6168">
        <w:rPr>
          <w:rFonts w:ascii="Chaparral Pro" w:hAnsi="Chaparral Pro"/>
          <w:i/>
        </w:rPr>
        <w:t xml:space="preserve">Mackenzie </w:t>
      </w:r>
      <w:proofErr w:type="spellStart"/>
      <w:r w:rsidR="000E6168" w:rsidRPr="000E6168">
        <w:rPr>
          <w:rFonts w:ascii="Chaparral Pro" w:hAnsi="Chaparral Pro"/>
          <w:i/>
        </w:rPr>
        <w:t>valley</w:t>
      </w:r>
      <w:proofErr w:type="spellEnd"/>
      <w:r w:rsidR="000E6168" w:rsidRPr="000E6168">
        <w:rPr>
          <w:rFonts w:ascii="Chaparral Pro" w:hAnsi="Chaparral Pro"/>
          <w:i/>
        </w:rPr>
        <w:t xml:space="preserve"> pipe-line </w:t>
      </w:r>
      <w:proofErr w:type="spellStart"/>
      <w:r w:rsidR="000E6168" w:rsidRPr="000E6168">
        <w:rPr>
          <w:rFonts w:ascii="Chaparral Pro" w:hAnsi="Chaparral Pro"/>
          <w:i/>
        </w:rPr>
        <w:t>project</w:t>
      </w:r>
      <w:proofErr w:type="spellEnd"/>
      <w:r w:rsidR="000E6168" w:rsidRPr="000E6168">
        <w:rPr>
          <w:rFonts w:ascii="Chaparral Pro" w:hAnsi="Chaparral Pro"/>
        </w:rPr>
        <w:t>)</w:t>
      </w:r>
      <w:r w:rsidRPr="000E6168">
        <w:rPr>
          <w:rFonts w:ascii="Chaparral Pro" w:hAnsi="Chaparral Pro"/>
        </w:rPr>
        <w:t xml:space="preserve">. Pour la première fois, les populations autochtones concernées par un projet d’aménagement touchant leurs territoires de vie (Indiens </w:t>
      </w:r>
      <w:proofErr w:type="spellStart"/>
      <w:r w:rsidRPr="000E6168">
        <w:rPr>
          <w:rFonts w:ascii="Chaparral Pro" w:hAnsi="Chaparral Pro"/>
        </w:rPr>
        <w:t>Dénés</w:t>
      </w:r>
      <w:proofErr w:type="spellEnd"/>
      <w:r w:rsidRPr="000E6168">
        <w:rPr>
          <w:rFonts w:ascii="Chaparral Pro" w:hAnsi="Chaparral Pro"/>
        </w:rPr>
        <w:t xml:space="preserve"> dans la parti</w:t>
      </w:r>
      <w:r w:rsidR="000E6168" w:rsidRPr="000E6168">
        <w:rPr>
          <w:rFonts w:ascii="Chaparral Pro" w:hAnsi="Chaparral Pro"/>
        </w:rPr>
        <w:t xml:space="preserve">e sud de la vallée, Indiens </w:t>
      </w:r>
      <w:proofErr w:type="spellStart"/>
      <w:r w:rsidR="000E6168" w:rsidRPr="000E6168">
        <w:rPr>
          <w:rFonts w:ascii="Chaparral Pro" w:hAnsi="Chaparral Pro"/>
        </w:rPr>
        <w:t>Gwi</w:t>
      </w:r>
      <w:r w:rsidRPr="000E6168">
        <w:rPr>
          <w:rFonts w:ascii="Chaparral Pro" w:hAnsi="Chaparral Pro"/>
        </w:rPr>
        <w:t>ch’in</w:t>
      </w:r>
      <w:proofErr w:type="spellEnd"/>
      <w:r w:rsidRPr="000E6168">
        <w:rPr>
          <w:rFonts w:ascii="Chaparral Pro" w:hAnsi="Chaparral Pro"/>
        </w:rPr>
        <w:t xml:space="preserve"> et Inuit dans la partie nord) sont consultées. Le juge Berger organise des réunions publiques dans </w:t>
      </w:r>
      <w:r w:rsidR="000E6168">
        <w:rPr>
          <w:rFonts w:ascii="Chaparral Pro" w:hAnsi="Chaparral Pro"/>
        </w:rPr>
        <w:t xml:space="preserve">35 </w:t>
      </w:r>
      <w:r w:rsidRPr="000E6168">
        <w:rPr>
          <w:rFonts w:ascii="Chaparral Pro" w:hAnsi="Chaparral Pro"/>
        </w:rPr>
        <w:t>villages</w:t>
      </w:r>
      <w:r w:rsidR="000E6168">
        <w:rPr>
          <w:rFonts w:ascii="Chaparral Pro" w:hAnsi="Chaparral Pro"/>
        </w:rPr>
        <w:t xml:space="preserve"> autochtones</w:t>
      </w:r>
      <w:r w:rsidRPr="000E6168">
        <w:rPr>
          <w:rFonts w:ascii="Chaparral Pro" w:hAnsi="Chaparral Pro"/>
        </w:rPr>
        <w:t xml:space="preserve">, encourage la prise de parole des habitants… et conclut son rapport en </w:t>
      </w:r>
      <w:r w:rsidR="000E6168">
        <w:rPr>
          <w:rFonts w:ascii="Chaparral Pro" w:hAnsi="Chaparral Pro"/>
        </w:rPr>
        <w:t xml:space="preserve">recommandant l’abandon total du projet pour ce qui concerne un tracé passant par le territoire (montagneux) du Yukon, et un moratoire de 10 ans pour un tracé empruntant la vallée du Mackenzie </w:t>
      </w:r>
      <w:r w:rsidRPr="000E6168">
        <w:rPr>
          <w:rFonts w:ascii="Chaparral Pro" w:hAnsi="Chaparral Pro"/>
        </w:rPr>
        <w:t>. Le pipe-line ne sera pas construit. En juin 2015, la mine</w:t>
      </w:r>
      <w:r w:rsidRPr="00B53162">
        <w:rPr>
          <w:rFonts w:ascii="Chaparral Pro" w:hAnsi="Chaparral Pro"/>
        </w:rPr>
        <w:t xml:space="preserve"> de fer de Mary River, au Nord de la Terre de Baffin, </w:t>
      </w:r>
      <w:r>
        <w:rPr>
          <w:rFonts w:ascii="Chaparral Pro" w:hAnsi="Chaparral Pro"/>
        </w:rPr>
        <w:t>entrera dans la phase d’exploitation, selon les termes négociés avec le gouv</w:t>
      </w:r>
      <w:r w:rsidR="0026475D">
        <w:rPr>
          <w:rFonts w:ascii="Chaparral Pro" w:hAnsi="Chaparral Pro"/>
        </w:rPr>
        <w:t xml:space="preserve">ernement du Nunavut, tandis </w:t>
      </w:r>
      <w:r w:rsidR="0026475D" w:rsidRPr="00903B22">
        <w:rPr>
          <w:rFonts w:ascii="Chaparral Pro" w:hAnsi="Chaparral Pro"/>
        </w:rPr>
        <w:t>qu’en 20</w:t>
      </w:r>
      <w:r w:rsidR="00903B22" w:rsidRPr="00903B22">
        <w:rPr>
          <w:rFonts w:ascii="Chaparral Pro" w:hAnsi="Chaparral Pro"/>
        </w:rPr>
        <w:t>08</w:t>
      </w:r>
      <w:r w:rsidR="0026475D">
        <w:rPr>
          <w:rFonts w:ascii="Chaparral Pro" w:hAnsi="Chaparral Pro"/>
        </w:rPr>
        <w:t xml:space="preserve"> les </w:t>
      </w:r>
      <w:proofErr w:type="spellStart"/>
      <w:r w:rsidR="0026475D">
        <w:rPr>
          <w:rFonts w:ascii="Chaparral Pro" w:hAnsi="Chaparral Pro"/>
        </w:rPr>
        <w:t>Inuvialuit</w:t>
      </w:r>
      <w:proofErr w:type="spellEnd"/>
      <w:r w:rsidR="0026475D">
        <w:rPr>
          <w:rFonts w:ascii="Chaparral Pro" w:hAnsi="Chaparral Pro"/>
        </w:rPr>
        <w:t xml:space="preserve"> ont donné leur accord pour la construction d’un pipe-line dans la vallée du Mackenzie.</w:t>
      </w:r>
    </w:p>
    <w:p w:rsidR="0026475D" w:rsidRDefault="0026475D" w:rsidP="0026475D">
      <w:pPr>
        <w:spacing w:after="0"/>
        <w:jc w:val="both"/>
        <w:rPr>
          <w:rFonts w:ascii="Chaparral Pro" w:hAnsi="Chaparral Pro"/>
        </w:rPr>
      </w:pPr>
      <w:r>
        <w:rPr>
          <w:rFonts w:ascii="Chaparral Pro" w:hAnsi="Chaparral Pro"/>
        </w:rPr>
        <w:t xml:space="preserve">En l’espace d’une quarantaine d’années, les positions autochtones, et plus particulièrement celles des Inuit, ont radicalement changé en matière de mise en valeur des ressources naturelles de leurs territoires. Cette communication se propose de faire, dans un premier temps, le point sur un changement qu’il faut appréhender en lien avec la </w:t>
      </w:r>
      <w:r w:rsidR="001E0C28">
        <w:rPr>
          <w:rFonts w:ascii="Chaparral Pro" w:hAnsi="Chaparral Pro"/>
        </w:rPr>
        <w:t>réorganisation politique du Grand Nord canadien depuis les années 1990, et, dans un second temps, de proposer une réflexion sur ce que ces changements disent de l’évolution du rapport à l’espace et aux ressources naturelles des sociétés inuit du Canada.</w:t>
      </w:r>
    </w:p>
    <w:p w:rsidR="00E72662" w:rsidRDefault="00903B22" w:rsidP="00903B22">
      <w:pPr>
        <w:spacing w:before="240" w:after="0"/>
        <w:rPr>
          <w:rFonts w:ascii="Chaparral Pro" w:hAnsi="Chaparral Pro"/>
        </w:rPr>
      </w:pPr>
      <w:r>
        <w:rPr>
          <w:noProof/>
          <w:lang w:val="it-IT" w:eastAsia="it-IT"/>
        </w:rPr>
        <w:drawing>
          <wp:anchor distT="0" distB="0" distL="114300" distR="114300" simplePos="0" relativeHeight="251658240" behindDoc="0" locked="0" layoutInCell="1" allowOverlap="1" wp14:anchorId="7FAE4EB6" wp14:editId="5D0E8B29">
            <wp:simplePos x="0" y="0"/>
            <wp:positionH relativeFrom="column">
              <wp:posOffset>-3175</wp:posOffset>
            </wp:positionH>
            <wp:positionV relativeFrom="paragraph">
              <wp:posOffset>443230</wp:posOffset>
            </wp:positionV>
            <wp:extent cx="4627245" cy="3174365"/>
            <wp:effectExtent l="0" t="0" r="1905" b="698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27245" cy="3174365"/>
                    </a:xfrm>
                    <a:prstGeom prst="rect">
                      <a:avLst/>
                    </a:prstGeom>
                  </pic:spPr>
                </pic:pic>
              </a:graphicData>
            </a:graphic>
            <wp14:sizeRelH relativeFrom="page">
              <wp14:pctWidth>0</wp14:pctWidth>
            </wp14:sizeRelH>
            <wp14:sizeRelV relativeFrom="page">
              <wp14:pctHeight>0</wp14:pctHeight>
            </wp14:sizeRelV>
          </wp:anchor>
        </w:drawing>
      </w:r>
      <w:r>
        <w:rPr>
          <w:rFonts w:ascii="Chaparral Pro" w:hAnsi="Chaparral Pro"/>
        </w:rPr>
        <w:t xml:space="preserve">Doc. </w:t>
      </w:r>
      <w:proofErr w:type="gramStart"/>
      <w:r>
        <w:rPr>
          <w:rFonts w:ascii="Chaparral Pro" w:hAnsi="Chaparral Pro"/>
        </w:rPr>
        <w:t>annexe</w:t>
      </w:r>
      <w:proofErr w:type="gramEnd"/>
      <w:r>
        <w:rPr>
          <w:rFonts w:ascii="Chaparral Pro" w:hAnsi="Chaparral Pro"/>
        </w:rPr>
        <w:t> : l’Arctique canadien.</w:t>
      </w:r>
      <w:bookmarkStart w:id="0" w:name="_GoBack"/>
      <w:bookmarkEnd w:id="0"/>
    </w:p>
    <w:sectPr w:rsidR="00E72662" w:rsidSect="00903B2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1A3" w:rsidRDefault="006431A3" w:rsidP="00E72662">
      <w:pPr>
        <w:spacing w:after="0" w:line="240" w:lineRule="auto"/>
      </w:pPr>
      <w:r>
        <w:separator/>
      </w:r>
    </w:p>
  </w:endnote>
  <w:endnote w:type="continuationSeparator" w:id="0">
    <w:p w:rsidR="006431A3" w:rsidRDefault="006431A3" w:rsidP="00E72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haparral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1A3" w:rsidRDefault="006431A3" w:rsidP="00E72662">
      <w:pPr>
        <w:spacing w:after="0" w:line="240" w:lineRule="auto"/>
      </w:pPr>
      <w:r>
        <w:separator/>
      </w:r>
    </w:p>
  </w:footnote>
  <w:footnote w:type="continuationSeparator" w:id="0">
    <w:p w:rsidR="006431A3" w:rsidRDefault="006431A3" w:rsidP="00E726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62" w:rsidRPr="00B53162" w:rsidRDefault="00E72662" w:rsidP="00E72662">
    <w:pPr>
      <w:spacing w:after="0" w:line="240" w:lineRule="auto"/>
      <w:rPr>
        <w:rFonts w:ascii="Chaparral Pro" w:hAnsi="Chaparral Pro"/>
      </w:rPr>
    </w:pPr>
    <w:r w:rsidRPr="00B53162">
      <w:rPr>
        <w:rFonts w:ascii="Chaparral Pro" w:hAnsi="Chaparral Pro"/>
      </w:rPr>
      <w:t>Béatrice Collignon</w:t>
    </w:r>
  </w:p>
  <w:p w:rsidR="00E72662" w:rsidRPr="00B53162" w:rsidRDefault="00E72662" w:rsidP="00E72662">
    <w:pPr>
      <w:spacing w:after="0" w:line="240" w:lineRule="auto"/>
      <w:rPr>
        <w:rFonts w:ascii="Chaparral Pro" w:hAnsi="Chaparral Pro"/>
      </w:rPr>
    </w:pPr>
    <w:r w:rsidRPr="00B53162">
      <w:rPr>
        <w:rFonts w:ascii="Chaparral Pro" w:hAnsi="Chaparral Pro"/>
      </w:rPr>
      <w:t>U. Bordeaux-Montaigne / UMR ADESS 5185</w:t>
    </w:r>
  </w:p>
  <w:p w:rsidR="00E72662" w:rsidRPr="00E72662" w:rsidRDefault="00E72662" w:rsidP="00E72662">
    <w:pPr>
      <w:spacing w:after="0" w:line="240" w:lineRule="auto"/>
      <w:rPr>
        <w:rFonts w:ascii="Chaparral Pro" w:hAnsi="Chaparral Pro"/>
      </w:rPr>
    </w:pPr>
    <w:hyperlink r:id="rId1" w:history="1">
      <w:r w:rsidRPr="00B53162">
        <w:rPr>
          <w:rStyle w:val="Lienhypertexte"/>
          <w:rFonts w:ascii="Chaparral Pro" w:hAnsi="Chaparral Pro"/>
        </w:rPr>
        <w:t>beatrice.collignon@cnrs.fr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3D"/>
    <w:rsid w:val="000E6168"/>
    <w:rsid w:val="001E0C28"/>
    <w:rsid w:val="0026475D"/>
    <w:rsid w:val="006431A3"/>
    <w:rsid w:val="00903B22"/>
    <w:rsid w:val="00966864"/>
    <w:rsid w:val="00B53162"/>
    <w:rsid w:val="00E72662"/>
    <w:rsid w:val="00F653CA"/>
    <w:rsid w:val="00FA0B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53162"/>
    <w:rPr>
      <w:color w:val="0000FF" w:themeColor="hyperlink"/>
      <w:u w:val="single"/>
    </w:rPr>
  </w:style>
  <w:style w:type="paragraph" w:styleId="Textedebulles">
    <w:name w:val="Balloon Text"/>
    <w:basedOn w:val="Normal"/>
    <w:link w:val="TextedebullesCar"/>
    <w:uiPriority w:val="99"/>
    <w:semiHidden/>
    <w:unhideWhenUsed/>
    <w:rsid w:val="00E726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2662"/>
    <w:rPr>
      <w:rFonts w:ascii="Tahoma" w:hAnsi="Tahoma" w:cs="Tahoma"/>
      <w:sz w:val="16"/>
      <w:szCs w:val="16"/>
    </w:rPr>
  </w:style>
  <w:style w:type="paragraph" w:styleId="En-tte">
    <w:name w:val="header"/>
    <w:basedOn w:val="Normal"/>
    <w:link w:val="En-tteCar"/>
    <w:uiPriority w:val="99"/>
    <w:unhideWhenUsed/>
    <w:rsid w:val="00E72662"/>
    <w:pPr>
      <w:tabs>
        <w:tab w:val="center" w:pos="4819"/>
        <w:tab w:val="right" w:pos="9638"/>
      </w:tabs>
      <w:spacing w:after="0" w:line="240" w:lineRule="auto"/>
    </w:pPr>
  </w:style>
  <w:style w:type="character" w:customStyle="1" w:styleId="En-tteCar">
    <w:name w:val="En-tête Car"/>
    <w:basedOn w:val="Policepardfaut"/>
    <w:link w:val="En-tte"/>
    <w:uiPriority w:val="99"/>
    <w:rsid w:val="00E72662"/>
  </w:style>
  <w:style w:type="paragraph" w:styleId="Pieddepage">
    <w:name w:val="footer"/>
    <w:basedOn w:val="Normal"/>
    <w:link w:val="PieddepageCar"/>
    <w:uiPriority w:val="99"/>
    <w:unhideWhenUsed/>
    <w:rsid w:val="00E72662"/>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E72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53162"/>
    <w:rPr>
      <w:color w:val="0000FF" w:themeColor="hyperlink"/>
      <w:u w:val="single"/>
    </w:rPr>
  </w:style>
  <w:style w:type="paragraph" w:styleId="Textedebulles">
    <w:name w:val="Balloon Text"/>
    <w:basedOn w:val="Normal"/>
    <w:link w:val="TextedebullesCar"/>
    <w:uiPriority w:val="99"/>
    <w:semiHidden/>
    <w:unhideWhenUsed/>
    <w:rsid w:val="00E726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2662"/>
    <w:rPr>
      <w:rFonts w:ascii="Tahoma" w:hAnsi="Tahoma" w:cs="Tahoma"/>
      <w:sz w:val="16"/>
      <w:szCs w:val="16"/>
    </w:rPr>
  </w:style>
  <w:style w:type="paragraph" w:styleId="En-tte">
    <w:name w:val="header"/>
    <w:basedOn w:val="Normal"/>
    <w:link w:val="En-tteCar"/>
    <w:uiPriority w:val="99"/>
    <w:unhideWhenUsed/>
    <w:rsid w:val="00E72662"/>
    <w:pPr>
      <w:tabs>
        <w:tab w:val="center" w:pos="4819"/>
        <w:tab w:val="right" w:pos="9638"/>
      </w:tabs>
      <w:spacing w:after="0" w:line="240" w:lineRule="auto"/>
    </w:pPr>
  </w:style>
  <w:style w:type="character" w:customStyle="1" w:styleId="En-tteCar">
    <w:name w:val="En-tête Car"/>
    <w:basedOn w:val="Policepardfaut"/>
    <w:link w:val="En-tte"/>
    <w:uiPriority w:val="99"/>
    <w:rsid w:val="00E72662"/>
  </w:style>
  <w:style w:type="paragraph" w:styleId="Pieddepage">
    <w:name w:val="footer"/>
    <w:basedOn w:val="Normal"/>
    <w:link w:val="PieddepageCar"/>
    <w:uiPriority w:val="99"/>
    <w:unhideWhenUsed/>
    <w:rsid w:val="00E72662"/>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E72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beatrice.collignon@cn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302</Words>
  <Characters>1724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Béatrice</cp:lastModifiedBy>
  <cp:revision>2</cp:revision>
  <dcterms:created xsi:type="dcterms:W3CDTF">2015-03-31T15:20:00Z</dcterms:created>
  <dcterms:modified xsi:type="dcterms:W3CDTF">2015-04-04T14:26:00Z</dcterms:modified>
</cp:coreProperties>
</file>